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A0E" w14:textId="1EFA0C60" w:rsidR="00BC30A5" w:rsidRPr="003725A8" w:rsidRDefault="00BC30A5" w:rsidP="00BC30A5">
      <w:pPr>
        <w:pStyle w:val="berschrift1"/>
        <w:rPr>
          <w:rFonts w:ascii="Aptos Serif" w:hAnsi="Aptos Serif" w:cs="Aptos Serif"/>
          <w:color w:val="0F4761"/>
        </w:rPr>
      </w:pPr>
      <w:r w:rsidRPr="003725A8">
        <w:rPr>
          <w:rFonts w:ascii="Aptos Serif" w:hAnsi="Aptos Serif" w:cs="Aptos Serif"/>
          <w:color w:val="0F4761"/>
        </w:rPr>
        <w:t xml:space="preserve">Module d’exercice 2 cadre juridique </w:t>
      </w:r>
    </w:p>
    <w:p w14:paraId="3ACE9E14" w14:textId="2FAF62ED" w:rsidR="00BC30A5" w:rsidRPr="00E939C3" w:rsidRDefault="00BC30A5" w:rsidP="00BC30A5">
      <w:pPr>
        <w:pStyle w:val="berschrift2"/>
        <w:rPr>
          <w:color w:val="auto"/>
        </w:rPr>
      </w:pPr>
      <w:r w:rsidRPr="00E939C3">
        <w:rPr>
          <w:color w:val="auto"/>
        </w:rPr>
        <w:t>Simulation d’une étude de cas sur les achats durables</w:t>
      </w:r>
    </w:p>
    <w:p w14:paraId="18DA8D0F" w14:textId="77777777" w:rsidR="00C31D11" w:rsidRPr="00E939C3" w:rsidRDefault="00C31D11" w:rsidP="0021078D">
      <w:pPr>
        <w:rPr>
          <w:b/>
          <w:bCs/>
        </w:rPr>
      </w:pPr>
    </w:p>
    <w:p w14:paraId="471C00F8" w14:textId="0A5AD23C" w:rsidR="0021078D" w:rsidRPr="00E939C3" w:rsidRDefault="00BC30A5" w:rsidP="0021078D">
      <w:r w:rsidRPr="00E939C3">
        <w:rPr>
          <w:b/>
          <w:bCs/>
        </w:rPr>
        <w:t xml:space="preserve">Objectif </w:t>
      </w:r>
      <w:r w:rsidRPr="00E939C3">
        <w:t>:</w:t>
      </w:r>
      <w:r w:rsidR="0021078D" w:rsidRPr="00E939C3">
        <w:br/>
      </w:r>
      <w:r w:rsidRPr="00E939C3">
        <w:t>Compréhension du cadre juridique régissant les achats durables, y compris le respect des réglementations (par exemple, les directives européennes) et la mise en œuvre des critères d'achats publics durables dans un contrat.</w:t>
      </w:r>
    </w:p>
    <w:p w14:paraId="0F5F35FF" w14:textId="77777777" w:rsidR="00C31D11" w:rsidRPr="00E939C3" w:rsidRDefault="00C31D11" w:rsidP="0021078D">
      <w:pPr>
        <w:rPr>
          <w:b/>
          <w:bCs/>
        </w:rPr>
      </w:pPr>
    </w:p>
    <w:p w14:paraId="08076636" w14:textId="7F7D4B50" w:rsidR="00BC30A5" w:rsidRPr="00E939C3" w:rsidRDefault="00BC30A5" w:rsidP="00BC30A5">
      <w:pPr>
        <w:rPr>
          <w:b/>
          <w:bCs/>
        </w:rPr>
      </w:pPr>
      <w:r w:rsidRPr="00E939C3">
        <w:rPr>
          <w:b/>
          <w:bCs/>
        </w:rPr>
        <w:t>Scénario :</w:t>
      </w:r>
    </w:p>
    <w:p w14:paraId="708FDBD4" w14:textId="251F58D1" w:rsidR="00C31D11" w:rsidRDefault="00BC30A5" w:rsidP="0021078D">
      <w:r w:rsidRPr="00E939C3">
        <w:t>Les étudiants reçoivent un cas d</w:t>
      </w:r>
      <w:r w:rsidR="00F15AE4" w:rsidRPr="00E939C3">
        <w:t>’</w:t>
      </w:r>
      <w:r w:rsidRPr="00E939C3">
        <w:t>approvisionnement détaillé (par exemple, un projet du secteur public tel que la construction d</w:t>
      </w:r>
      <w:r w:rsidR="00F15AE4" w:rsidRPr="00E939C3">
        <w:t>’</w:t>
      </w:r>
      <w:r w:rsidRPr="00E939C3">
        <w:t>un immeuble de bureaux ou l</w:t>
      </w:r>
      <w:r w:rsidR="00F15AE4" w:rsidRPr="00E939C3">
        <w:t>’</w:t>
      </w:r>
      <w:r w:rsidRPr="00E939C3">
        <w:t xml:space="preserve">achat de services informatiques) dans lequel la durabilité est une exigence centrale. Le cas doit mettre en avant certains objectifs environnementaux et sociaux (par exemple, réduction de </w:t>
      </w:r>
      <w:r w:rsidR="00654F2B" w:rsidRPr="00E939C3">
        <w:t>l’</w:t>
      </w:r>
      <w:r w:rsidRPr="00E939C3">
        <w:t>empreinte carbone, utilisation de matériaux durables, garantie de pratiques de travail équitables).</w:t>
      </w:r>
    </w:p>
    <w:p w14:paraId="78DB9701" w14:textId="77777777" w:rsidR="002C1A65" w:rsidRDefault="002C1A65" w:rsidP="0021078D"/>
    <w:p w14:paraId="0BE566B5" w14:textId="77777777" w:rsidR="002C1A65" w:rsidRPr="002C1A65" w:rsidRDefault="002C1A65" w:rsidP="0021078D"/>
    <w:p w14:paraId="67BE9108" w14:textId="521C1FA9" w:rsidR="0021078D" w:rsidRDefault="00F15AE4" w:rsidP="0021078D">
      <w:pPr>
        <w:rPr>
          <w:b/>
          <w:bCs/>
        </w:rPr>
      </w:pPr>
      <w:r w:rsidRPr="00E939C3">
        <w:rPr>
          <w:b/>
          <w:bCs/>
        </w:rPr>
        <w:t>Étapes de l’exercice :</w:t>
      </w:r>
    </w:p>
    <w:p w14:paraId="316F6D68" w14:textId="77777777" w:rsidR="002C1A65" w:rsidRPr="00E939C3" w:rsidRDefault="002C1A65" w:rsidP="0021078D">
      <w:pPr>
        <w:rPr>
          <w:b/>
          <w:bCs/>
          <w:lang w:val="de-DE"/>
        </w:rPr>
      </w:pPr>
    </w:p>
    <w:p w14:paraId="14CECE6E" w14:textId="005CCB2B" w:rsidR="0021078D" w:rsidRPr="00E939C3" w:rsidRDefault="00F15AE4" w:rsidP="0021078D">
      <w:pPr>
        <w:numPr>
          <w:ilvl w:val="0"/>
          <w:numId w:val="1"/>
        </w:numPr>
      </w:pPr>
      <w:r w:rsidRPr="00E939C3">
        <w:rPr>
          <w:b/>
          <w:bCs/>
        </w:rPr>
        <w:t>Répartition des cas</w:t>
      </w:r>
      <w:r w:rsidRPr="00E939C3">
        <w:t> :</w:t>
      </w:r>
      <w:r w:rsidR="0021078D" w:rsidRPr="00E939C3">
        <w:br/>
      </w:r>
      <w:r w:rsidRPr="00E939C3">
        <w:t>présentez un cas fictif d'approvisionnement comprenant les éléments suivants (vous trouverez des scénarios possibles ci-dessous) :</w:t>
      </w:r>
    </w:p>
    <w:p w14:paraId="5CD2025D" w14:textId="02EAE8D2" w:rsidR="0021078D" w:rsidRPr="00E939C3" w:rsidRDefault="00F15AE4" w:rsidP="0021078D">
      <w:pPr>
        <w:numPr>
          <w:ilvl w:val="1"/>
          <w:numId w:val="1"/>
        </w:numPr>
      </w:pPr>
      <w:r w:rsidRPr="00E939C3">
        <w:rPr>
          <w:b/>
          <w:bCs/>
        </w:rPr>
        <w:t>Informations générales</w:t>
      </w:r>
      <w:r w:rsidRPr="00E939C3">
        <w:t xml:space="preserve"> sur l’organisation, l’étendue du projet et les objectifs.</w:t>
      </w:r>
    </w:p>
    <w:p w14:paraId="7FB190A8" w14:textId="266D7B50" w:rsidR="0021078D" w:rsidRPr="00E939C3" w:rsidRDefault="00F15AE4" w:rsidP="0021078D">
      <w:pPr>
        <w:numPr>
          <w:ilvl w:val="1"/>
          <w:numId w:val="1"/>
        </w:numPr>
      </w:pPr>
      <w:r w:rsidRPr="00E939C3">
        <w:rPr>
          <w:b/>
          <w:bCs/>
        </w:rPr>
        <w:t>Exigences en matière de durabilité</w:t>
      </w:r>
      <w:r w:rsidRPr="00E939C3">
        <w:t xml:space="preserve"> (par exemple, critères </w:t>
      </w:r>
      <w:r w:rsidR="00654F2B" w:rsidRPr="00E939C3">
        <w:t>des marchés publics</w:t>
      </w:r>
      <w:r w:rsidRPr="00E939C3">
        <w:t xml:space="preserve"> </w:t>
      </w:r>
      <w:r w:rsidR="00654F2B" w:rsidRPr="00E939C3">
        <w:t xml:space="preserve">écologiques </w:t>
      </w:r>
      <w:r w:rsidRPr="00E939C3">
        <w:t>tels que l’efficacité énergétique, la réduction des déchets).</w:t>
      </w:r>
    </w:p>
    <w:p w14:paraId="5A078C4B" w14:textId="51206B87" w:rsidR="0021078D" w:rsidRPr="00E939C3" w:rsidRDefault="00F15AE4" w:rsidP="0021078D">
      <w:pPr>
        <w:numPr>
          <w:ilvl w:val="1"/>
          <w:numId w:val="1"/>
        </w:numPr>
      </w:pPr>
      <w:r w:rsidRPr="00E939C3">
        <w:rPr>
          <w:b/>
          <w:bCs/>
        </w:rPr>
        <w:t>Exigences légales</w:t>
      </w:r>
      <w:r w:rsidRPr="00E939C3">
        <w:t xml:space="preserve"> (par exemple, conformité aux directives européennes, aux lois environnementales locales/nationales, aux conventions internationales).</w:t>
      </w:r>
    </w:p>
    <w:p w14:paraId="6E9DFE79" w14:textId="63C9EE1C" w:rsidR="0021078D" w:rsidRPr="00E939C3" w:rsidRDefault="00F15AE4" w:rsidP="0021078D">
      <w:pPr>
        <w:numPr>
          <w:ilvl w:val="1"/>
          <w:numId w:val="1"/>
        </w:numPr>
      </w:pPr>
      <w:r w:rsidRPr="00E939C3">
        <w:rPr>
          <w:b/>
          <w:bCs/>
        </w:rPr>
        <w:t xml:space="preserve">Défis </w:t>
      </w:r>
      <w:r w:rsidRPr="00E939C3">
        <w:t>(par exemple, incertitude quant aux capacités du marché, base de fournisseurs limitée ou difficultés à définir les spécifications techniques).</w:t>
      </w:r>
    </w:p>
    <w:p w14:paraId="4FA0ECCA" w14:textId="54C0A0BB" w:rsidR="00F15AE4" w:rsidRPr="00E939C3" w:rsidRDefault="00F15AE4" w:rsidP="00F15AE4">
      <w:pPr>
        <w:numPr>
          <w:ilvl w:val="0"/>
          <w:numId w:val="1"/>
        </w:numPr>
      </w:pPr>
      <w:r w:rsidRPr="00E939C3">
        <w:rPr>
          <w:b/>
          <w:bCs/>
        </w:rPr>
        <w:t xml:space="preserve">Répartition des rôles </w:t>
      </w:r>
      <w:r w:rsidR="003138B1" w:rsidRPr="00E939C3">
        <w:t xml:space="preserve">                                                                                R</w:t>
      </w:r>
      <w:r w:rsidRPr="00E939C3">
        <w:t>épartissez les étudiants en petits groupes et attribuez-leur des rôles tels que responsables des achats, conseillers juridiques, experts en développement durable ou fournisseurs.</w:t>
      </w:r>
    </w:p>
    <w:p w14:paraId="118886AE" w14:textId="2CF96F67" w:rsidR="0021078D" w:rsidRPr="00E939C3" w:rsidRDefault="003138B1" w:rsidP="0021078D">
      <w:pPr>
        <w:numPr>
          <w:ilvl w:val="0"/>
          <w:numId w:val="1"/>
        </w:numPr>
      </w:pPr>
      <w:r w:rsidRPr="00E939C3">
        <w:rPr>
          <w:b/>
          <w:bCs/>
        </w:rPr>
        <w:t>Recherche et analyse </w:t>
      </w:r>
      <w:r w:rsidR="0021078D" w:rsidRPr="00E939C3">
        <w:br/>
      </w:r>
      <w:r w:rsidRPr="00E939C3">
        <w:t xml:space="preserve">Chaque groupe effectue des recherches afin de </w:t>
      </w:r>
      <w:r w:rsidR="0021078D" w:rsidRPr="00E939C3">
        <w:t>:</w:t>
      </w:r>
    </w:p>
    <w:p w14:paraId="3DA38998" w14:textId="783390DD" w:rsidR="0021078D" w:rsidRPr="00E939C3" w:rsidRDefault="003138B1" w:rsidP="0021078D">
      <w:pPr>
        <w:numPr>
          <w:ilvl w:val="1"/>
          <w:numId w:val="1"/>
        </w:numPr>
      </w:pPr>
      <w:proofErr w:type="gramStart"/>
      <w:r w:rsidRPr="00E939C3">
        <w:t>analyser</w:t>
      </w:r>
      <w:proofErr w:type="gramEnd"/>
      <w:r w:rsidRPr="00E939C3">
        <w:t xml:space="preserve"> le cadre juridique applicable aux achats durables (par exemple, la directive européenne sur les marchés publics, la législation nationale) ;</w:t>
      </w:r>
    </w:p>
    <w:p w14:paraId="45E25187" w14:textId="6D49754E" w:rsidR="0021078D" w:rsidRPr="00E939C3" w:rsidRDefault="003138B1" w:rsidP="0021078D">
      <w:pPr>
        <w:numPr>
          <w:ilvl w:val="1"/>
          <w:numId w:val="1"/>
        </w:numPr>
      </w:pPr>
      <w:proofErr w:type="gramStart"/>
      <w:r w:rsidRPr="00E939C3">
        <w:t>évaluer</w:t>
      </w:r>
      <w:proofErr w:type="gramEnd"/>
      <w:r w:rsidRPr="00E939C3">
        <w:t xml:space="preserve"> comment les critères de durabilité peuvent être appliqués dans le processus d’appel d'offres ;</w:t>
      </w:r>
    </w:p>
    <w:p w14:paraId="165E828F" w14:textId="36261777" w:rsidR="0021078D" w:rsidRPr="00E939C3" w:rsidRDefault="003138B1" w:rsidP="0021078D">
      <w:pPr>
        <w:numPr>
          <w:ilvl w:val="1"/>
          <w:numId w:val="1"/>
        </w:numPr>
      </w:pPr>
      <w:proofErr w:type="gramStart"/>
      <w:r w:rsidRPr="00E939C3">
        <w:t>identifier</w:t>
      </w:r>
      <w:proofErr w:type="gramEnd"/>
      <w:r w:rsidRPr="00E939C3">
        <w:t xml:space="preserve"> les risques de non-conformité et déterminer les moyens de les réduire.</w:t>
      </w:r>
    </w:p>
    <w:p w14:paraId="42C36B9C" w14:textId="6E5EF9E2" w:rsidR="0021078D" w:rsidRPr="00E939C3" w:rsidRDefault="003138B1" w:rsidP="0021078D">
      <w:pPr>
        <w:numPr>
          <w:ilvl w:val="1"/>
          <w:numId w:val="1"/>
        </w:numPr>
      </w:pPr>
      <w:proofErr w:type="gramStart"/>
      <w:r w:rsidRPr="00E939C3">
        <w:lastRenderedPageBreak/>
        <w:t>examiner</w:t>
      </w:r>
      <w:proofErr w:type="gramEnd"/>
      <w:r w:rsidRPr="00E939C3">
        <w:t xml:space="preserve"> les stratégies d’implication du marché afin de combler les lacunes en matière de connaissances.</w:t>
      </w:r>
    </w:p>
    <w:p w14:paraId="5E041A55" w14:textId="7AE766C5" w:rsidR="0021078D" w:rsidRPr="00E939C3" w:rsidRDefault="003138B1" w:rsidP="0021078D">
      <w:pPr>
        <w:numPr>
          <w:ilvl w:val="0"/>
          <w:numId w:val="1"/>
        </w:numPr>
      </w:pPr>
      <w:r w:rsidRPr="00E939C3">
        <w:rPr>
          <w:b/>
          <w:bCs/>
        </w:rPr>
        <w:t>Développement d’une stratégie d’approvisionnement</w:t>
      </w:r>
      <w:r w:rsidR="0021078D" w:rsidRPr="00E939C3">
        <w:br/>
      </w:r>
      <w:r w:rsidRPr="00E939C3">
        <w:t>Chaque groupe doit :</w:t>
      </w:r>
    </w:p>
    <w:p w14:paraId="5E7326D6" w14:textId="1A5E91E6" w:rsidR="0021078D" w:rsidRPr="00E939C3" w:rsidRDefault="003138B1" w:rsidP="0021078D">
      <w:pPr>
        <w:numPr>
          <w:ilvl w:val="1"/>
          <w:numId w:val="1"/>
        </w:numPr>
      </w:pPr>
      <w:proofErr w:type="gramStart"/>
      <w:r w:rsidRPr="00E939C3">
        <w:t>choisir</w:t>
      </w:r>
      <w:proofErr w:type="gramEnd"/>
      <w:r w:rsidRPr="00E939C3">
        <w:t xml:space="preserve"> la procédure d’approvisionnement appropriée (procédure ouverte, restreinte, concurrentielle, etc.) ;</w:t>
      </w:r>
    </w:p>
    <w:p w14:paraId="02A5D888" w14:textId="390FE19F" w:rsidR="0021078D" w:rsidRPr="00E939C3" w:rsidRDefault="003138B1" w:rsidP="0021078D">
      <w:pPr>
        <w:numPr>
          <w:ilvl w:val="1"/>
          <w:numId w:val="1"/>
        </w:numPr>
      </w:pPr>
      <w:proofErr w:type="gramStart"/>
      <w:r w:rsidRPr="00E939C3">
        <w:t>définir</w:t>
      </w:r>
      <w:proofErr w:type="gramEnd"/>
      <w:r w:rsidRPr="00E939C3">
        <w:t xml:space="preserve"> les conditions contractuelles afin de garantir le respect des engagements en matière de durabilité ;</w:t>
      </w:r>
    </w:p>
    <w:p w14:paraId="2F708564" w14:textId="314F6C07" w:rsidR="0021078D" w:rsidRPr="00E939C3" w:rsidRDefault="003138B1" w:rsidP="0021078D">
      <w:pPr>
        <w:numPr>
          <w:ilvl w:val="1"/>
          <w:numId w:val="1"/>
        </w:numPr>
      </w:pPr>
      <w:proofErr w:type="gramStart"/>
      <w:r w:rsidRPr="00E939C3">
        <w:t>élaborer</w:t>
      </w:r>
      <w:proofErr w:type="gramEnd"/>
      <w:r w:rsidRPr="00E939C3">
        <w:t xml:space="preserve"> des critères de durabilité clés à inclure dans les documents d</w:t>
      </w:r>
      <w:r w:rsidR="00914BCF" w:rsidRPr="00E939C3">
        <w:t>’</w:t>
      </w:r>
      <w:r w:rsidRPr="00E939C3">
        <w:t>appel d'offres ;</w:t>
      </w:r>
    </w:p>
    <w:p w14:paraId="0ABA18B6" w14:textId="3EDC6EEC" w:rsidR="0021078D" w:rsidRPr="00E939C3" w:rsidRDefault="00875187" w:rsidP="0021078D">
      <w:pPr>
        <w:numPr>
          <w:ilvl w:val="1"/>
          <w:numId w:val="1"/>
        </w:numPr>
      </w:pPr>
      <w:proofErr w:type="gramStart"/>
      <w:r w:rsidRPr="00E939C3">
        <w:t>expliquer</w:t>
      </w:r>
      <w:proofErr w:type="gramEnd"/>
      <w:r w:rsidRPr="00E939C3">
        <w:t xml:space="preserve"> comment </w:t>
      </w:r>
      <w:proofErr w:type="spellStart"/>
      <w:r w:rsidRPr="00E939C3">
        <w:t>il</w:t>
      </w:r>
      <w:r w:rsidR="00654F2B" w:rsidRPr="00E939C3">
        <w:t>·</w:t>
      </w:r>
      <w:r w:rsidRPr="00E939C3">
        <w:t>gérerait</w:t>
      </w:r>
      <w:proofErr w:type="spellEnd"/>
      <w:r w:rsidRPr="00E939C3">
        <w:t xml:space="preserve"> la conformité des soumissionnaires au cadre juridique (par exemple, comment la conformité aux lois environnementales serait vérifiée).</w:t>
      </w:r>
    </w:p>
    <w:p w14:paraId="2052BE42" w14:textId="0C9BC1CD" w:rsidR="0021078D" w:rsidRPr="00E939C3" w:rsidRDefault="00875187" w:rsidP="0021078D">
      <w:pPr>
        <w:numPr>
          <w:ilvl w:val="0"/>
          <w:numId w:val="1"/>
        </w:numPr>
      </w:pPr>
      <w:r w:rsidRPr="00E939C3">
        <w:rPr>
          <w:b/>
          <w:bCs/>
        </w:rPr>
        <w:t>Présentation et discussion</w:t>
      </w:r>
      <w:r w:rsidR="0021078D" w:rsidRPr="00E939C3">
        <w:br/>
      </w:r>
      <w:r w:rsidRPr="00E939C3">
        <w:t>Chaque groupe présente sa stratégie d’achat et la manière dont il garantirait le respect des exigences en matière d</w:t>
      </w:r>
      <w:r w:rsidR="00654F2B" w:rsidRPr="00E939C3">
        <w:t>e marchés publics écologiques</w:t>
      </w:r>
      <w:r w:rsidRPr="00E939C3">
        <w:t>. Cela devrait inclure :</w:t>
      </w:r>
    </w:p>
    <w:p w14:paraId="2159B009" w14:textId="4E668ECB" w:rsidR="0021078D" w:rsidRPr="00E939C3" w:rsidRDefault="00875187" w:rsidP="0021078D">
      <w:pPr>
        <w:numPr>
          <w:ilvl w:val="1"/>
          <w:numId w:val="1"/>
        </w:numPr>
      </w:pPr>
      <w:proofErr w:type="gramStart"/>
      <w:r w:rsidRPr="00E939C3">
        <w:t>la</w:t>
      </w:r>
      <w:proofErr w:type="gramEnd"/>
      <w:r w:rsidRPr="00E939C3">
        <w:t xml:space="preserve"> procédure d’achat choisie et sa justification ;</w:t>
      </w:r>
    </w:p>
    <w:p w14:paraId="08C31CBE" w14:textId="4F80D9DC" w:rsidR="0021078D" w:rsidRPr="00E939C3" w:rsidRDefault="00875187" w:rsidP="0021078D">
      <w:pPr>
        <w:numPr>
          <w:ilvl w:val="1"/>
          <w:numId w:val="1"/>
        </w:numPr>
      </w:pPr>
      <w:proofErr w:type="gramStart"/>
      <w:r w:rsidRPr="00E939C3">
        <w:t>les</w:t>
      </w:r>
      <w:proofErr w:type="gramEnd"/>
      <w:r w:rsidRPr="00E939C3">
        <w:t xml:space="preserve"> conditions importantes en matière de durabilité et les indicateurs de performance ;</w:t>
      </w:r>
    </w:p>
    <w:p w14:paraId="403265D6" w14:textId="1D32BE24" w:rsidR="0021078D" w:rsidRPr="00E939C3" w:rsidRDefault="00875187" w:rsidP="0021078D">
      <w:pPr>
        <w:numPr>
          <w:ilvl w:val="1"/>
          <w:numId w:val="1"/>
        </w:numPr>
      </w:pPr>
      <w:proofErr w:type="gramStart"/>
      <w:r w:rsidRPr="00E939C3">
        <w:t>les</w:t>
      </w:r>
      <w:proofErr w:type="gramEnd"/>
      <w:r w:rsidRPr="00E939C3">
        <w:t xml:space="preserve"> mesures visant à garantir le respect des dispositions légales (par exemple, clauses contractuelles, évaluation des soumissionnaires).</w:t>
      </w:r>
    </w:p>
    <w:p w14:paraId="6879A126" w14:textId="480580DE" w:rsidR="0021078D" w:rsidRPr="00E939C3" w:rsidRDefault="00875187" w:rsidP="0021078D">
      <w:pPr>
        <w:numPr>
          <w:ilvl w:val="0"/>
          <w:numId w:val="1"/>
        </w:numPr>
      </w:pPr>
      <w:r w:rsidRPr="00E939C3">
        <w:rPr>
          <w:b/>
          <w:bCs/>
        </w:rPr>
        <w:t>Discussion et réflexion</w:t>
      </w:r>
      <w:r w:rsidR="0021078D" w:rsidRPr="00E939C3">
        <w:br/>
      </w:r>
      <w:r w:rsidRPr="00E939C3">
        <w:t>Après les présentations, organisez une discussion en classe sur les thèmes suivants :</w:t>
      </w:r>
    </w:p>
    <w:p w14:paraId="1D2829EA" w14:textId="162D94AD" w:rsidR="0021078D" w:rsidRPr="00E939C3" w:rsidRDefault="00875187" w:rsidP="0021078D">
      <w:pPr>
        <w:numPr>
          <w:ilvl w:val="1"/>
          <w:numId w:val="1"/>
        </w:numPr>
      </w:pPr>
      <w:proofErr w:type="gramStart"/>
      <w:r w:rsidRPr="00E939C3">
        <w:t>les</w:t>
      </w:r>
      <w:proofErr w:type="gramEnd"/>
      <w:r w:rsidRPr="00E939C3">
        <w:t xml:space="preserve"> défis liés à la conciliation des exigences légales et des objectifs de durabilité ;</w:t>
      </w:r>
    </w:p>
    <w:p w14:paraId="28DCBA32" w14:textId="6DAD6405" w:rsidR="0021078D" w:rsidRPr="00E939C3" w:rsidRDefault="002B7392" w:rsidP="0021078D">
      <w:pPr>
        <w:numPr>
          <w:ilvl w:val="1"/>
          <w:numId w:val="1"/>
        </w:numPr>
      </w:pPr>
      <w:proofErr w:type="gramStart"/>
      <w:r w:rsidRPr="00E939C3">
        <w:t>les</w:t>
      </w:r>
      <w:proofErr w:type="gramEnd"/>
      <w:r w:rsidRPr="00E939C3">
        <w:t xml:space="preserve"> bonnes pratiques en matière de gestion des achats durables dans la réalité ;</w:t>
      </w:r>
    </w:p>
    <w:p w14:paraId="36DFCEE1" w14:textId="2FE31658" w:rsidR="0021078D" w:rsidRPr="00E939C3" w:rsidRDefault="002B7392" w:rsidP="0021078D">
      <w:pPr>
        <w:numPr>
          <w:ilvl w:val="1"/>
          <w:numId w:val="1"/>
        </w:numPr>
      </w:pPr>
      <w:proofErr w:type="gramStart"/>
      <w:r w:rsidRPr="00E939C3">
        <w:t>comment</w:t>
      </w:r>
      <w:proofErr w:type="gramEnd"/>
      <w:r w:rsidRPr="00E939C3">
        <w:t xml:space="preserve"> la participation au marché et les négociations peuvent contribuer à surmonter les difficultés liées à la définition des spécifications techniques.</w:t>
      </w:r>
    </w:p>
    <w:p w14:paraId="17199E0C" w14:textId="77777777" w:rsidR="00C31D11" w:rsidRPr="00E939C3" w:rsidRDefault="00C31D11" w:rsidP="0021078D">
      <w:pPr>
        <w:rPr>
          <w:b/>
          <w:bCs/>
        </w:rPr>
      </w:pPr>
    </w:p>
    <w:p w14:paraId="431068DA" w14:textId="35DCF1A1" w:rsidR="0021078D" w:rsidRPr="00E939C3" w:rsidRDefault="007C4E6A" w:rsidP="0021078D">
      <w:pPr>
        <w:rPr>
          <w:b/>
          <w:bCs/>
        </w:rPr>
      </w:pPr>
      <w:r w:rsidRPr="00E939C3">
        <w:rPr>
          <w:b/>
          <w:bCs/>
        </w:rPr>
        <w:t xml:space="preserve">Objectifs pédagogiques </w:t>
      </w:r>
    </w:p>
    <w:p w14:paraId="6793483D" w14:textId="782E8826" w:rsidR="0021078D" w:rsidRPr="00E939C3" w:rsidRDefault="007C4E6A" w:rsidP="0021078D">
      <w:pPr>
        <w:numPr>
          <w:ilvl w:val="0"/>
          <w:numId w:val="2"/>
        </w:numPr>
      </w:pPr>
      <w:r w:rsidRPr="00E939C3">
        <w:t>Compréhension du cadre juridique régissant les achats durables.</w:t>
      </w:r>
    </w:p>
    <w:p w14:paraId="18472C39" w14:textId="2C2A11C4" w:rsidR="0021078D" w:rsidRPr="00E939C3" w:rsidRDefault="007C4E6A" w:rsidP="0021078D">
      <w:pPr>
        <w:numPr>
          <w:ilvl w:val="0"/>
          <w:numId w:val="2"/>
        </w:numPr>
      </w:pPr>
      <w:proofErr w:type="gramStart"/>
      <w:r w:rsidRPr="00E939C3">
        <w:t>des</w:t>
      </w:r>
      <w:proofErr w:type="gramEnd"/>
      <w:r w:rsidRPr="00E939C3">
        <w:t xml:space="preserve"> critères de durabilité dans le cadre juridique.</w:t>
      </w:r>
    </w:p>
    <w:p w14:paraId="7D7834EF" w14:textId="64F85EB2" w:rsidR="0021078D" w:rsidRPr="00E939C3" w:rsidRDefault="007C4E6A" w:rsidP="0021078D">
      <w:pPr>
        <w:numPr>
          <w:ilvl w:val="0"/>
          <w:numId w:val="2"/>
        </w:numPr>
      </w:pPr>
      <w:r w:rsidRPr="00E939C3">
        <w:t>Analyse des procédures d’approvisionnement et sélection de la méthode la plus appropriée.</w:t>
      </w:r>
    </w:p>
    <w:p w14:paraId="0793B7CD" w14:textId="2755D258" w:rsidR="0021078D" w:rsidRPr="00E939C3" w:rsidRDefault="007C4E6A" w:rsidP="0021078D">
      <w:pPr>
        <w:numPr>
          <w:ilvl w:val="0"/>
          <w:numId w:val="2"/>
        </w:numPr>
      </w:pPr>
      <w:r w:rsidRPr="00E939C3">
        <w:t>Communication et justification des décisions d’approvisionnement.</w:t>
      </w:r>
    </w:p>
    <w:p w14:paraId="48FEFA6E" w14:textId="2273413A" w:rsidR="0021078D" w:rsidRPr="00E939C3" w:rsidRDefault="007C4E6A" w:rsidP="0021078D">
      <w:pPr>
        <w:numPr>
          <w:ilvl w:val="0"/>
          <w:numId w:val="2"/>
        </w:numPr>
      </w:pPr>
      <w:r w:rsidRPr="00E939C3">
        <w:t>Identification et réduction des risques liés au non-respect des lois environnementales et sociales.</w:t>
      </w:r>
    </w:p>
    <w:p w14:paraId="027EB17C" w14:textId="77777777" w:rsidR="00C73FC7" w:rsidRPr="00E939C3" w:rsidRDefault="00C73FC7" w:rsidP="0021078D"/>
    <w:p w14:paraId="78DA2852" w14:textId="3A9A1DF2" w:rsidR="0021078D" w:rsidRPr="00E939C3" w:rsidRDefault="0021078D" w:rsidP="0021078D"/>
    <w:p w14:paraId="5A3F7EE2" w14:textId="10D88884" w:rsidR="007C4E6A" w:rsidRPr="00E939C3" w:rsidRDefault="007C4E6A" w:rsidP="0021078D">
      <w:r w:rsidRPr="00E939C3">
        <w:t>Cet exercice combine la théorie juridique et la pratique, et favorise à la fois la pensée critique et la capacité à résoudre des problèmes dans un contexte réaliste.</w:t>
      </w:r>
    </w:p>
    <w:p w14:paraId="6D81DBB0" w14:textId="53DE7EA6" w:rsidR="00DA2EBB" w:rsidRPr="00E939C3" w:rsidRDefault="00DA2EBB">
      <w:r w:rsidRPr="00E939C3">
        <w:br w:type="page"/>
      </w:r>
    </w:p>
    <w:p w14:paraId="19AD7D13" w14:textId="457B9884" w:rsidR="00EA7BDD" w:rsidRPr="00E939C3" w:rsidRDefault="007C4E6A" w:rsidP="00DA2EBB">
      <w:pPr>
        <w:pStyle w:val="berschrift2"/>
        <w:rPr>
          <w:color w:val="auto"/>
        </w:rPr>
      </w:pPr>
      <w:r w:rsidRPr="00E939C3">
        <w:rPr>
          <w:color w:val="auto"/>
        </w:rPr>
        <w:lastRenderedPageBreak/>
        <w:t>Scénarios pour des cas fictifs d’approvisionnement</w:t>
      </w:r>
    </w:p>
    <w:p w14:paraId="35FD5009" w14:textId="77777777" w:rsidR="00DA2EBB" w:rsidRPr="00E939C3" w:rsidRDefault="00DA2EBB" w:rsidP="009D5F0A"/>
    <w:p w14:paraId="2D5554D9" w14:textId="3196E45C" w:rsidR="00DA2EBB" w:rsidRPr="00E939C3" w:rsidRDefault="007C4E6A" w:rsidP="00DA2EBB">
      <w:pPr>
        <w:pStyle w:val="berschrift3"/>
        <w:rPr>
          <w:color w:val="auto"/>
        </w:rPr>
      </w:pPr>
      <w:r w:rsidRPr="00E939C3">
        <w:rPr>
          <w:color w:val="auto"/>
        </w:rPr>
        <w:t>Scénario 1 Cas d’a</w:t>
      </w:r>
      <w:r w:rsidR="00A30408" w:rsidRPr="00E939C3">
        <w:rPr>
          <w:color w:val="auto"/>
        </w:rPr>
        <w:t>chat</w:t>
      </w:r>
      <w:r w:rsidRPr="00E939C3">
        <w:rPr>
          <w:color w:val="auto"/>
        </w:rPr>
        <w:t xml:space="preserve"> fictif : uniformes durables pour </w:t>
      </w:r>
      <w:proofErr w:type="spellStart"/>
      <w:r w:rsidRPr="00E939C3">
        <w:rPr>
          <w:color w:val="auto"/>
        </w:rPr>
        <w:t>CityHealth</w:t>
      </w:r>
      <w:proofErr w:type="spellEnd"/>
      <w:r w:rsidRPr="00E939C3">
        <w:rPr>
          <w:color w:val="auto"/>
        </w:rPr>
        <w:t xml:space="preserve"> Public Services</w:t>
      </w:r>
    </w:p>
    <w:p w14:paraId="5BE939CF" w14:textId="77777777" w:rsidR="00DA2EBB" w:rsidRPr="00E939C3" w:rsidRDefault="00DA2EBB" w:rsidP="00DA2EBB">
      <w:pPr>
        <w:rPr>
          <w:b/>
          <w:bCs/>
        </w:rPr>
      </w:pPr>
    </w:p>
    <w:p w14:paraId="3DA4E4FF" w14:textId="04C36030" w:rsidR="00DA2EBB" w:rsidRPr="00E939C3" w:rsidRDefault="007C4E6A" w:rsidP="00DA2EBB">
      <w:r w:rsidRPr="00E939C3">
        <w:rPr>
          <w:b/>
          <w:bCs/>
        </w:rPr>
        <w:t>Informations générales</w:t>
      </w:r>
    </w:p>
    <w:p w14:paraId="79F1CE25" w14:textId="564DBED8" w:rsidR="00DA2EBB" w:rsidRPr="00E939C3" w:rsidRDefault="007C4E6A" w:rsidP="00DA2EBB">
      <w:pPr>
        <w:numPr>
          <w:ilvl w:val="0"/>
          <w:numId w:val="3"/>
        </w:numPr>
      </w:pPr>
      <w:r w:rsidRPr="00E939C3">
        <w:rPr>
          <w:b/>
          <w:bCs/>
        </w:rPr>
        <w:t>Organisation :</w:t>
      </w:r>
      <w:r w:rsidRPr="00E939C3">
        <w:t xml:space="preserve"> </w:t>
      </w:r>
      <w:proofErr w:type="spellStart"/>
      <w:r w:rsidRPr="00E939C3">
        <w:t>CityHealth</w:t>
      </w:r>
      <w:proofErr w:type="spellEnd"/>
      <w:r w:rsidRPr="00E939C3">
        <w:t xml:space="preserve"> Public Services, une autorité sanitaire municipale qui fournit des services de santé dans toute la ville. </w:t>
      </w:r>
      <w:proofErr w:type="spellStart"/>
      <w:r w:rsidRPr="00E939C3">
        <w:t>CityHealth</w:t>
      </w:r>
      <w:proofErr w:type="spellEnd"/>
      <w:r w:rsidRPr="00E939C3">
        <w:t xml:space="preserve"> emploie 2 000 personnes dans le secteur de la santé, dont des médecins, des infirmières et des employés administratifs.</w:t>
      </w:r>
    </w:p>
    <w:p w14:paraId="4C7E5488" w14:textId="7F9F4127" w:rsidR="00DA2EBB" w:rsidRPr="00E939C3" w:rsidRDefault="00B422C3" w:rsidP="00DA2EBB">
      <w:pPr>
        <w:numPr>
          <w:ilvl w:val="0"/>
          <w:numId w:val="3"/>
        </w:numPr>
      </w:pPr>
      <w:r w:rsidRPr="00E939C3">
        <w:rPr>
          <w:b/>
          <w:bCs/>
        </w:rPr>
        <w:t>Étendue du projet</w:t>
      </w:r>
      <w:r w:rsidRPr="00E939C3">
        <w:t xml:space="preserve"> : le projet comprend l’achat d’uniformes pour </w:t>
      </w:r>
      <w:proofErr w:type="spellStart"/>
      <w:r w:rsidRPr="00E939C3">
        <w:t>tou·te·s</w:t>
      </w:r>
      <w:proofErr w:type="spellEnd"/>
      <w:r w:rsidRPr="00E939C3">
        <w:t xml:space="preserve"> les </w:t>
      </w:r>
      <w:proofErr w:type="spellStart"/>
      <w:r w:rsidRPr="00E939C3">
        <w:t>employé·e·s</w:t>
      </w:r>
      <w:proofErr w:type="spellEnd"/>
      <w:r w:rsidRPr="00E939C3">
        <w:t xml:space="preserve">, notamment des blouses d'hôpital, des blouses de laboratoire et des vêtements administratifs. Les uniformes sont portés quotidiennement par du personnel médical, leur durabilité et leur confort sont donc essentiels. </w:t>
      </w:r>
      <w:proofErr w:type="spellStart"/>
      <w:r w:rsidRPr="00E939C3">
        <w:t>CityHealth</w:t>
      </w:r>
      <w:proofErr w:type="spellEnd"/>
      <w:r w:rsidRPr="00E939C3">
        <w:t xml:space="preserve"> souhaite s</w:t>
      </w:r>
      <w:r w:rsidR="00914BCF" w:rsidRPr="00E939C3">
        <w:t>’</w:t>
      </w:r>
      <w:r w:rsidRPr="00E939C3">
        <w:t>assurer que les textiles utilisés pour les uniformes répondent à des normes de durabilité tant sociales qu</w:t>
      </w:r>
      <w:r w:rsidR="00914BCF" w:rsidRPr="00E939C3">
        <w:t>’</w:t>
      </w:r>
      <w:r w:rsidRPr="00E939C3">
        <w:t>environnementales.</w:t>
      </w:r>
    </w:p>
    <w:p w14:paraId="257DBF3F" w14:textId="1B936976" w:rsidR="00DA2EBB" w:rsidRPr="00E939C3" w:rsidRDefault="00B422C3" w:rsidP="00DA2EBB">
      <w:pPr>
        <w:numPr>
          <w:ilvl w:val="0"/>
          <w:numId w:val="3"/>
        </w:numPr>
      </w:pPr>
      <w:r w:rsidRPr="00E939C3">
        <w:rPr>
          <w:b/>
          <w:bCs/>
        </w:rPr>
        <w:t>Objectifs :</w:t>
      </w:r>
      <w:r w:rsidRPr="00E939C3">
        <w:t xml:space="preserve"> l’objectif principal est de garantir que les uniformes sont fabriqués à partir de textiles durables qui répondent à des normes sociales et environnementales élevées. </w:t>
      </w:r>
      <w:proofErr w:type="spellStart"/>
      <w:r w:rsidRPr="00E939C3">
        <w:t>CityHealth</w:t>
      </w:r>
      <w:proofErr w:type="spellEnd"/>
      <w:r w:rsidRPr="00E939C3">
        <w:t xml:space="preserve"> souhaite réduire son empreinte écologique, soutenir des pratiques de travail équitables et améliorer son profil en matière de développement durable.</w:t>
      </w:r>
    </w:p>
    <w:p w14:paraId="5E9E9802" w14:textId="77777777" w:rsidR="00DA2EBB" w:rsidRPr="00E939C3" w:rsidRDefault="00DA2EBB" w:rsidP="00DA2EBB">
      <w:pPr>
        <w:rPr>
          <w:b/>
          <w:bCs/>
        </w:rPr>
      </w:pPr>
    </w:p>
    <w:p w14:paraId="641EA58F" w14:textId="014183C0" w:rsidR="00DA2EBB" w:rsidRPr="00E939C3" w:rsidRDefault="00B422C3" w:rsidP="00DA2EBB">
      <w:r w:rsidRPr="00E939C3">
        <w:rPr>
          <w:b/>
          <w:bCs/>
        </w:rPr>
        <w:t>Exigences en matière de durabilité</w:t>
      </w:r>
    </w:p>
    <w:p w14:paraId="06C23858" w14:textId="496812D9" w:rsidR="00DA2EBB" w:rsidRPr="00E939C3" w:rsidRDefault="00B422C3" w:rsidP="00DA2EBB">
      <w:pPr>
        <w:numPr>
          <w:ilvl w:val="0"/>
          <w:numId w:val="4"/>
        </w:numPr>
      </w:pPr>
      <w:r w:rsidRPr="00E939C3">
        <w:rPr>
          <w:b/>
          <w:bCs/>
        </w:rPr>
        <w:t xml:space="preserve">Critères de durabilité sociale </w:t>
      </w:r>
    </w:p>
    <w:p w14:paraId="63F82FD4" w14:textId="3D4FAF53" w:rsidR="00DA2EBB" w:rsidRPr="00E939C3" w:rsidRDefault="00B422C3" w:rsidP="00DA2EBB">
      <w:pPr>
        <w:numPr>
          <w:ilvl w:val="1"/>
          <w:numId w:val="4"/>
        </w:numPr>
      </w:pPr>
      <w:r w:rsidRPr="00E939C3">
        <w:rPr>
          <w:b/>
          <w:bCs/>
        </w:rPr>
        <w:t>Conditions de travail équitables</w:t>
      </w:r>
      <w:r w:rsidRPr="00E939C3">
        <w:t xml:space="preserve"> : tous les textiles doivent provenir de fournisseurs qui respectent les normes internationales du travail, telles que les conventions de l’Organisation internationale du travail (OIT). Cela implique que les </w:t>
      </w:r>
      <w:proofErr w:type="spellStart"/>
      <w:r w:rsidRPr="00E939C3">
        <w:t>travailleur·</w:t>
      </w:r>
      <w:r w:rsidR="00AF27FA" w:rsidRPr="00E939C3">
        <w:t>eu</w:t>
      </w:r>
      <w:r w:rsidRPr="00E939C3">
        <w:t>se·s</w:t>
      </w:r>
      <w:proofErr w:type="spellEnd"/>
      <w:r w:rsidRPr="00E939C3">
        <w:t xml:space="preserve"> </w:t>
      </w:r>
      <w:proofErr w:type="spellStart"/>
      <w:r w:rsidRPr="00E939C3">
        <w:t>impliqué·e·s</w:t>
      </w:r>
      <w:proofErr w:type="spellEnd"/>
      <w:r w:rsidRPr="00E939C3">
        <w:t xml:space="preserve"> dans la fabrication des textiles perçoivent des salaires équitables, travaillent dans des conditions sûres et aient le droit de se syndiquer.</w:t>
      </w:r>
    </w:p>
    <w:p w14:paraId="434FCA22" w14:textId="3505D427" w:rsidR="00DA2EBB" w:rsidRPr="00E939C3" w:rsidRDefault="007C7576" w:rsidP="00DA2EBB">
      <w:pPr>
        <w:numPr>
          <w:ilvl w:val="1"/>
          <w:numId w:val="4"/>
        </w:numPr>
      </w:pPr>
      <w:r w:rsidRPr="00E939C3">
        <w:rPr>
          <w:b/>
          <w:bCs/>
        </w:rPr>
        <w:t>Chaîne d’approvisionnement éthique</w:t>
      </w:r>
      <w:r w:rsidRPr="00E939C3">
        <w:t xml:space="preserve"> </w:t>
      </w:r>
      <w:r w:rsidRPr="00E939C3">
        <w:rPr>
          <w:b/>
          <w:bCs/>
        </w:rPr>
        <w:t>certifiée :</w:t>
      </w:r>
      <w:r w:rsidRPr="00E939C3">
        <w:t xml:space="preserve"> les fournisseurs doivent disposer de certifications telles que </w:t>
      </w:r>
      <w:r w:rsidRPr="00E939C3">
        <w:rPr>
          <w:b/>
          <w:bCs/>
        </w:rPr>
        <w:t>Fair Trade</w:t>
      </w:r>
      <w:r w:rsidRPr="00E939C3">
        <w:t xml:space="preserve"> ou </w:t>
      </w:r>
      <w:r w:rsidRPr="00E939C3">
        <w:rPr>
          <w:b/>
          <w:bCs/>
        </w:rPr>
        <w:t xml:space="preserve">Global </w:t>
      </w:r>
      <w:proofErr w:type="spellStart"/>
      <w:r w:rsidRPr="00E939C3">
        <w:rPr>
          <w:b/>
          <w:bCs/>
        </w:rPr>
        <w:t>Organic</w:t>
      </w:r>
      <w:proofErr w:type="spellEnd"/>
      <w:r w:rsidRPr="00E939C3">
        <w:rPr>
          <w:b/>
          <w:bCs/>
        </w:rPr>
        <w:t xml:space="preserve"> Textile Standard</w:t>
      </w:r>
      <w:r w:rsidRPr="00E939C3">
        <w:t xml:space="preserve"> (</w:t>
      </w:r>
      <w:r w:rsidRPr="00E939C3">
        <w:rPr>
          <w:b/>
          <w:bCs/>
        </w:rPr>
        <w:t>GOTS</w:t>
      </w:r>
      <w:r w:rsidRPr="00E939C3">
        <w:t>), qui garantissent que la production des textiles répond de manière vérifiable aux critères d’approvisionnement éthique et de conditions de travail équitables.</w:t>
      </w:r>
    </w:p>
    <w:p w14:paraId="670A4654" w14:textId="3BA89D35" w:rsidR="00DA2EBB" w:rsidRPr="00E939C3" w:rsidRDefault="007C7576" w:rsidP="00DA2EBB">
      <w:pPr>
        <w:numPr>
          <w:ilvl w:val="1"/>
          <w:numId w:val="4"/>
        </w:numPr>
      </w:pPr>
      <w:r w:rsidRPr="00E939C3">
        <w:rPr>
          <w:b/>
          <w:bCs/>
        </w:rPr>
        <w:t>Préférence pour l’approvisionnement local</w:t>
      </w:r>
      <w:r w:rsidRPr="00E939C3">
        <w:t xml:space="preserve"> : dans la mesure du possible, </w:t>
      </w:r>
      <w:proofErr w:type="spellStart"/>
      <w:r w:rsidRPr="00E939C3">
        <w:t>CityHealth</w:t>
      </w:r>
      <w:proofErr w:type="spellEnd"/>
      <w:r w:rsidRPr="00E939C3">
        <w:t xml:space="preserve"> privilégie l’approvisionnement en textiles auprès de fabricants locaux afin de soutenir l’économie régionale et de réduire les émissions de CO2 liées au transport.</w:t>
      </w:r>
    </w:p>
    <w:p w14:paraId="463366C6" w14:textId="77777777" w:rsidR="00123B8E" w:rsidRPr="00E939C3" w:rsidRDefault="00123B8E" w:rsidP="00123B8E">
      <w:pPr>
        <w:ind w:left="1440"/>
      </w:pPr>
    </w:p>
    <w:p w14:paraId="1038E567" w14:textId="4EA3C734" w:rsidR="00DA2EBB" w:rsidRPr="00E939C3" w:rsidRDefault="007C7576" w:rsidP="00DA2EBB">
      <w:pPr>
        <w:numPr>
          <w:ilvl w:val="0"/>
          <w:numId w:val="4"/>
        </w:numPr>
        <w:rPr>
          <w:lang w:val="de-DE"/>
        </w:rPr>
      </w:pPr>
      <w:r w:rsidRPr="00E939C3">
        <w:rPr>
          <w:b/>
          <w:bCs/>
        </w:rPr>
        <w:t>Critères de durabilité écologique</w:t>
      </w:r>
    </w:p>
    <w:p w14:paraId="71C54E92" w14:textId="3A7E3BD3" w:rsidR="00DA2EBB" w:rsidRPr="00E939C3" w:rsidRDefault="007C7576" w:rsidP="00DA2EBB">
      <w:pPr>
        <w:numPr>
          <w:ilvl w:val="1"/>
          <w:numId w:val="4"/>
        </w:numPr>
      </w:pPr>
      <w:r w:rsidRPr="00E939C3">
        <w:rPr>
          <w:b/>
          <w:bCs/>
        </w:rPr>
        <w:t>Approvisionnement en matériaux</w:t>
      </w:r>
      <w:r w:rsidRPr="00E939C3">
        <w:t xml:space="preserve"> : les textiles doivent être fabriqués à partir de matériaux écologiquement durables tels que le coton biologique, le polyester recyclé ou le </w:t>
      </w:r>
      <w:proofErr w:type="spellStart"/>
      <w:r w:rsidRPr="00E939C3">
        <w:t>Tencel</w:t>
      </w:r>
      <w:proofErr w:type="spellEnd"/>
      <w:r w:rsidRPr="00E939C3">
        <w:t>, qui sont biodégradables et ne nécessitent qu’un traitement chimique minimal.</w:t>
      </w:r>
    </w:p>
    <w:p w14:paraId="29AC10AC" w14:textId="17C9DE21" w:rsidR="00DA2EBB" w:rsidRPr="00E939C3" w:rsidRDefault="007C7576" w:rsidP="00DA2EBB">
      <w:pPr>
        <w:numPr>
          <w:ilvl w:val="1"/>
          <w:numId w:val="4"/>
        </w:numPr>
      </w:pPr>
      <w:r w:rsidRPr="00E939C3">
        <w:rPr>
          <w:b/>
          <w:bCs/>
        </w:rPr>
        <w:t>Consommation d’eau et de produits chimiques</w:t>
      </w:r>
      <w:r w:rsidRPr="00E939C3">
        <w:t xml:space="preserve"> : les fournisseurs doivent s’engager à réduire leur consommation d’eau et à éviter </w:t>
      </w:r>
      <w:r w:rsidRPr="00E939C3">
        <w:lastRenderedPageBreak/>
        <w:t xml:space="preserve">l’utilisation de produits chimiques nocifs dans la fabrication des textiles, en se conformant à des directives similaires à la norme </w:t>
      </w:r>
      <w:r w:rsidRPr="00E939C3">
        <w:rPr>
          <w:b/>
          <w:bCs/>
        </w:rPr>
        <w:t>OEKO-TEX Standard 100</w:t>
      </w:r>
      <w:r w:rsidRPr="00E939C3">
        <w:t xml:space="preserve"> pour les substances nocives et à la norme </w:t>
      </w:r>
      <w:r w:rsidRPr="00E939C3">
        <w:rPr>
          <w:b/>
          <w:bCs/>
        </w:rPr>
        <w:t xml:space="preserve">Global </w:t>
      </w:r>
      <w:proofErr w:type="spellStart"/>
      <w:r w:rsidRPr="00E939C3">
        <w:rPr>
          <w:b/>
          <w:bCs/>
        </w:rPr>
        <w:t>Organic</w:t>
      </w:r>
      <w:proofErr w:type="spellEnd"/>
      <w:r w:rsidRPr="00E939C3">
        <w:t xml:space="preserve"> </w:t>
      </w:r>
      <w:r w:rsidRPr="00E939C3">
        <w:rPr>
          <w:b/>
          <w:bCs/>
        </w:rPr>
        <w:t>Textile Standard (GOTS).</w:t>
      </w:r>
    </w:p>
    <w:p w14:paraId="4908721F" w14:textId="365B4E9D" w:rsidR="00DA2EBB" w:rsidRPr="00E939C3" w:rsidRDefault="007C7576" w:rsidP="00DA2EBB">
      <w:pPr>
        <w:numPr>
          <w:ilvl w:val="1"/>
          <w:numId w:val="4"/>
        </w:numPr>
      </w:pPr>
      <w:r w:rsidRPr="00E939C3">
        <w:rPr>
          <w:b/>
          <w:bCs/>
        </w:rPr>
        <w:t>Durabilité et longévité</w:t>
      </w:r>
      <w:r w:rsidRPr="00E939C3">
        <w:t xml:space="preserve"> : les uniformes doivent être résistants et durables afin de réduire la fréquence de leur remplacement et ainsi minimiser la quantité totale de déchets. Ils doivent également être faciles à recycler à la fin de leur cycle de vie.</w:t>
      </w:r>
    </w:p>
    <w:p w14:paraId="640EEEB8" w14:textId="1F8027DD" w:rsidR="00DA2EBB" w:rsidRPr="00E939C3" w:rsidRDefault="007C7576" w:rsidP="00DA2EBB">
      <w:pPr>
        <w:numPr>
          <w:ilvl w:val="1"/>
          <w:numId w:val="4"/>
        </w:numPr>
      </w:pPr>
      <w:r w:rsidRPr="00E939C3">
        <w:rPr>
          <w:b/>
          <w:bCs/>
        </w:rPr>
        <w:t xml:space="preserve">Réduction </w:t>
      </w:r>
      <w:r w:rsidR="00B04657" w:rsidRPr="00E939C3">
        <w:rPr>
          <w:b/>
          <w:bCs/>
        </w:rPr>
        <w:t xml:space="preserve">maximale </w:t>
      </w:r>
      <w:r w:rsidRPr="00E939C3">
        <w:rPr>
          <w:b/>
          <w:bCs/>
        </w:rPr>
        <w:t>des déchets</w:t>
      </w:r>
      <w:r w:rsidRPr="00E939C3">
        <w:t xml:space="preserve"> : les fournisseurs doivent prendre des mesures pour réduire au minimum les déchets textiles pendant la production, par exemple en utilisant des méthodes de production sans déchets ou en réutilisant les matériaux résiduels.</w:t>
      </w:r>
    </w:p>
    <w:p w14:paraId="63DE0848" w14:textId="77777777" w:rsidR="00123B8E" w:rsidRPr="00E939C3" w:rsidRDefault="00123B8E" w:rsidP="00123B8E">
      <w:pPr>
        <w:ind w:left="1440"/>
      </w:pPr>
    </w:p>
    <w:p w14:paraId="2BE8F26B" w14:textId="12861ACF" w:rsidR="00DA2EBB" w:rsidRPr="00E939C3" w:rsidRDefault="00AF27FA" w:rsidP="00DA2EBB">
      <w:pPr>
        <w:numPr>
          <w:ilvl w:val="0"/>
          <w:numId w:val="4"/>
        </w:numPr>
        <w:rPr>
          <w:b/>
          <w:bCs/>
        </w:rPr>
      </w:pPr>
      <w:r w:rsidRPr="00E939C3">
        <w:rPr>
          <w:b/>
          <w:bCs/>
        </w:rPr>
        <w:t>Exigences légales</w:t>
      </w:r>
    </w:p>
    <w:p w14:paraId="22A8CA17" w14:textId="559C5B53" w:rsidR="00DA2EBB" w:rsidRPr="00E939C3" w:rsidRDefault="00AF27FA" w:rsidP="00DA2EBB">
      <w:pPr>
        <w:numPr>
          <w:ilvl w:val="1"/>
          <w:numId w:val="4"/>
        </w:numPr>
      </w:pPr>
      <w:r w:rsidRPr="00E939C3">
        <w:rPr>
          <w:b/>
          <w:bCs/>
        </w:rPr>
        <w:t>Directives européennes :</w:t>
      </w:r>
      <w:r w:rsidRPr="00E939C3">
        <w:t xml:space="preserve"> l’approvisionnement doit être conforme au </w:t>
      </w:r>
      <w:r w:rsidRPr="00E939C3">
        <w:rPr>
          <w:b/>
          <w:bCs/>
        </w:rPr>
        <w:t>règlement européen n° 1007/2011</w:t>
      </w:r>
      <w:r w:rsidRPr="00E939C3">
        <w:t xml:space="preserve"> </w:t>
      </w:r>
      <w:r w:rsidR="00B04657" w:rsidRPr="00E939C3">
        <w:t xml:space="preserve">relatif aux dénominations des fibres textiles et à l'étiquetage et au </w:t>
      </w:r>
      <w:proofErr w:type="gramStart"/>
      <w:r w:rsidR="00B04657" w:rsidRPr="00E939C3">
        <w:t xml:space="preserve">marquage </w:t>
      </w:r>
      <w:r w:rsidRPr="00E939C3">
        <w:t xml:space="preserve"> </w:t>
      </w:r>
      <w:r w:rsidR="00B04657" w:rsidRPr="00E939C3">
        <w:t>correspondants</w:t>
      </w:r>
      <w:proofErr w:type="gramEnd"/>
      <w:r w:rsidR="00B04657" w:rsidRPr="00E939C3">
        <w:t xml:space="preserve"> des produits textiles au regard de leur composition en fibres</w:t>
      </w:r>
      <w:r w:rsidRPr="00E939C3">
        <w:t xml:space="preserve">, ainsi qu’au </w:t>
      </w:r>
      <w:r w:rsidRPr="00E939C3">
        <w:rPr>
          <w:b/>
          <w:bCs/>
        </w:rPr>
        <w:t xml:space="preserve">règlement européen 2019/1020 </w:t>
      </w:r>
      <w:r w:rsidR="00E004D0" w:rsidRPr="00E939C3">
        <w:t>sur la surveillance du marché et la conformité des produits</w:t>
      </w:r>
      <w:r w:rsidRPr="00E939C3">
        <w:t xml:space="preserve"> afin de garantir la conformité des produits aux normes de sécurité.</w:t>
      </w:r>
    </w:p>
    <w:p w14:paraId="5E66641E" w14:textId="47235028" w:rsidR="00E004D0" w:rsidRPr="00E939C3" w:rsidRDefault="00AF27FA" w:rsidP="00E004D0">
      <w:pPr>
        <w:numPr>
          <w:ilvl w:val="1"/>
          <w:numId w:val="4"/>
        </w:numPr>
        <w:rPr>
          <w:b/>
          <w:bCs/>
        </w:rPr>
      </w:pPr>
      <w:r w:rsidRPr="00E939C3">
        <w:rPr>
          <w:b/>
          <w:bCs/>
        </w:rPr>
        <w:t>Lois nationales sur l’environnement</w:t>
      </w:r>
      <w:r w:rsidRPr="00E939C3">
        <w:t xml:space="preserve"> : le projet doit respecter les lois nationales relatives à l’élimination des déchets textiles et à la réduction des produits chimiques dangereux dans la production textile. Cela inclut le respect du </w:t>
      </w:r>
      <w:r w:rsidRPr="00E939C3">
        <w:rPr>
          <w:b/>
          <w:bCs/>
        </w:rPr>
        <w:t xml:space="preserve">règlement sur </w:t>
      </w:r>
      <w:r w:rsidR="00E004D0" w:rsidRPr="00E939C3">
        <w:rPr>
          <w:b/>
          <w:bCs/>
        </w:rPr>
        <w:t>l’Enregistrement, l’évaluation et l’autorisation des produits chimiques</w:t>
      </w:r>
    </w:p>
    <w:p w14:paraId="405D9851" w14:textId="191BB5CE" w:rsidR="00DA2EBB" w:rsidRPr="00E939C3" w:rsidRDefault="00AF27FA" w:rsidP="00DA2EBB">
      <w:pPr>
        <w:numPr>
          <w:ilvl w:val="1"/>
          <w:numId w:val="4"/>
        </w:numPr>
      </w:pPr>
      <w:r w:rsidRPr="00E939C3">
        <w:t xml:space="preserve"> (</w:t>
      </w:r>
      <w:proofErr w:type="gramStart"/>
      <w:r w:rsidRPr="00E939C3">
        <w:t>règlement</w:t>
      </w:r>
      <w:proofErr w:type="gramEnd"/>
      <w:r w:rsidRPr="00E939C3">
        <w:t xml:space="preserve"> REACH), qui limite l’utilisation de produits chimiques nocifs dans les textiles vendus dans l'UE.</w:t>
      </w:r>
    </w:p>
    <w:p w14:paraId="61A92B99" w14:textId="30C6E466" w:rsidR="00DA2EBB" w:rsidRPr="00E939C3" w:rsidRDefault="00AF27FA" w:rsidP="00DA2EBB">
      <w:pPr>
        <w:numPr>
          <w:ilvl w:val="1"/>
          <w:numId w:val="4"/>
        </w:numPr>
      </w:pPr>
      <w:r w:rsidRPr="00E939C3">
        <w:rPr>
          <w:b/>
          <w:bCs/>
        </w:rPr>
        <w:t>Conventions internationales</w:t>
      </w:r>
      <w:r w:rsidRPr="00E939C3">
        <w:t xml:space="preserve"> : </w:t>
      </w:r>
      <w:proofErr w:type="spellStart"/>
      <w:r w:rsidRPr="00E939C3">
        <w:t>CityHealth</w:t>
      </w:r>
      <w:proofErr w:type="spellEnd"/>
      <w:r w:rsidRPr="00E939C3">
        <w:t xml:space="preserve"> doit veiller à ce que le processus d’approvisionnement soit conforme aux conventions internationales telles que les </w:t>
      </w:r>
      <w:r w:rsidRPr="00E939C3">
        <w:rPr>
          <w:b/>
          <w:bCs/>
        </w:rPr>
        <w:t>Principes directeurs des Nations Unies relatifs aux entreprises et aux droits de l'homme</w:t>
      </w:r>
      <w:r w:rsidRPr="00E939C3">
        <w:t xml:space="preserve"> afin de garantir le respect des droits humains dans la chaîne d’approvisionnement et d’empêcher l’exploitation des </w:t>
      </w:r>
      <w:proofErr w:type="spellStart"/>
      <w:r w:rsidRPr="00E939C3">
        <w:t>travailleur·euse·s</w:t>
      </w:r>
      <w:proofErr w:type="spellEnd"/>
      <w:r w:rsidRPr="00E939C3">
        <w:t>.</w:t>
      </w:r>
    </w:p>
    <w:p w14:paraId="31FA740F" w14:textId="5934FD09" w:rsidR="00DA2EBB" w:rsidRPr="00E939C3" w:rsidRDefault="00AF27FA" w:rsidP="00DA2EBB">
      <w:pPr>
        <w:numPr>
          <w:ilvl w:val="1"/>
          <w:numId w:val="4"/>
        </w:numPr>
      </w:pPr>
      <w:r w:rsidRPr="00E939C3">
        <w:t xml:space="preserve">  </w:t>
      </w:r>
      <w:r w:rsidRPr="00E939C3">
        <w:rPr>
          <w:b/>
          <w:bCs/>
        </w:rPr>
        <w:t>Réglementations relatives à l’économie circulaire</w:t>
      </w:r>
      <w:r w:rsidRPr="00E939C3">
        <w:t xml:space="preserve"> : la ville s'est engagée à respecter le </w:t>
      </w:r>
      <w:r w:rsidRPr="00E939C3">
        <w:rPr>
          <w:b/>
          <w:bCs/>
        </w:rPr>
        <w:t xml:space="preserve">plan d’action </w:t>
      </w:r>
      <w:r w:rsidRPr="00E939C3">
        <w:t xml:space="preserve">de l’UE </w:t>
      </w:r>
      <w:r w:rsidRPr="00E939C3">
        <w:rPr>
          <w:b/>
          <w:bCs/>
        </w:rPr>
        <w:t>pour l’économie circulaire</w:t>
      </w:r>
      <w:r w:rsidRPr="00E939C3">
        <w:t xml:space="preserve"> et s’efforce d’acheter des produits qui contribuent à l’économie circulaire. Cela inclut l’utilisation de textiles qui peuvent être recyclés, réutilisés ou biodégradés après usage.</w:t>
      </w:r>
    </w:p>
    <w:p w14:paraId="16879D9D" w14:textId="77777777" w:rsidR="002313A7" w:rsidRPr="00E939C3" w:rsidRDefault="002313A7" w:rsidP="002313A7">
      <w:pPr>
        <w:ind w:left="1440"/>
      </w:pPr>
    </w:p>
    <w:p w14:paraId="7043375E" w14:textId="3E49A6B3" w:rsidR="00DA2EBB" w:rsidRPr="00E939C3" w:rsidRDefault="00A4498B" w:rsidP="00DA2EBB">
      <w:pPr>
        <w:numPr>
          <w:ilvl w:val="0"/>
          <w:numId w:val="4"/>
        </w:numPr>
        <w:rPr>
          <w:b/>
          <w:bCs/>
        </w:rPr>
      </w:pPr>
      <w:r w:rsidRPr="00E939C3">
        <w:rPr>
          <w:b/>
          <w:bCs/>
        </w:rPr>
        <w:t>Défis</w:t>
      </w:r>
      <w:r w:rsidR="00E004D0" w:rsidRPr="00E939C3">
        <w:rPr>
          <w:b/>
          <w:bCs/>
        </w:rPr>
        <w:t> :</w:t>
      </w:r>
    </w:p>
    <w:p w14:paraId="5B9BF99D" w14:textId="79762366" w:rsidR="00A4498B" w:rsidRPr="00E939C3" w:rsidRDefault="00A4498B" w:rsidP="00A4498B">
      <w:pPr>
        <w:ind w:left="1440"/>
      </w:pPr>
      <w:r w:rsidRPr="00E939C3">
        <w:rPr>
          <w:b/>
          <w:bCs/>
        </w:rPr>
        <w:t>Capacité et conformité des fournisseurs</w:t>
      </w:r>
      <w:r w:rsidRPr="00E939C3">
        <w:t xml:space="preserve"> : bien qu'il existe plusieurs fournisseurs sur le marché, beaucoup ne répondent pas entièrement aux critères environnementaux et sociaux stricts de </w:t>
      </w:r>
      <w:proofErr w:type="spellStart"/>
      <w:r w:rsidRPr="00E939C3">
        <w:t>CityHealth</w:t>
      </w:r>
      <w:proofErr w:type="spellEnd"/>
      <w:r w:rsidRPr="00E939C3">
        <w:t xml:space="preserve">. Il est très difficile de trouver des fournisseurs qui respectent à la fois les normes de durabilité environnementale et les normes de travail pour les textiles à grande échelle. De plus, de nombreux fournisseurs font preuve d’une transparence limitée en ce qui concerne leurs chaînes </w:t>
      </w:r>
      <w:r w:rsidRPr="00E939C3">
        <w:lastRenderedPageBreak/>
        <w:t>d’approvisionnement, ce qui rend difficile la vérification des informations relatives aux pratiques de travail équitables ou à l’approvisionnement en matériaux.</w:t>
      </w:r>
    </w:p>
    <w:p w14:paraId="435AA0B0" w14:textId="2B16D4D0" w:rsidR="00DA2EBB" w:rsidRPr="00E939C3" w:rsidRDefault="00A4498B" w:rsidP="00596CF8">
      <w:pPr>
        <w:numPr>
          <w:ilvl w:val="1"/>
          <w:numId w:val="4"/>
        </w:numPr>
      </w:pPr>
      <w:r w:rsidRPr="00E939C3">
        <w:rPr>
          <w:b/>
          <w:bCs/>
        </w:rPr>
        <w:t xml:space="preserve">Complexité et </w:t>
      </w:r>
      <w:proofErr w:type="gramStart"/>
      <w:r w:rsidRPr="00E939C3">
        <w:rPr>
          <w:b/>
          <w:bCs/>
        </w:rPr>
        <w:t>certifications</w:t>
      </w:r>
      <w:r w:rsidR="00E004D0" w:rsidRPr="00E939C3">
        <w:rPr>
          <w:b/>
          <w:bCs/>
        </w:rPr>
        <w:t>:</w:t>
      </w:r>
      <w:proofErr w:type="gramEnd"/>
      <w:r w:rsidRPr="00E939C3">
        <w:t xml:space="preserve"> Il est difficile de s’y retrouver parmi les nombreuses certifications et normes (par exemple </w:t>
      </w:r>
      <w:r w:rsidRPr="00E939C3">
        <w:rPr>
          <w:b/>
          <w:bCs/>
        </w:rPr>
        <w:t>OEKO-TEX, GOTS, Fair Trade</w:t>
      </w:r>
      <w:r w:rsidRPr="00E939C3">
        <w:t xml:space="preserve">). Certaines certifications se concentrent sur un domaine particulier (par exemple, la fabrication sans produits chimiques), tandis que d’autres ne le font pas (par exemple, la consommation d’eau ou les droits des </w:t>
      </w:r>
      <w:proofErr w:type="spellStart"/>
      <w:r w:rsidRPr="00E939C3">
        <w:t>travailleur·euse·s</w:t>
      </w:r>
      <w:proofErr w:type="spellEnd"/>
      <w:r w:rsidRPr="00E939C3">
        <w:t>). Garantir que tous les critères sont remplis sans exigences contradictoires ni processus de certification excessivement complexes représente un défi pour les équipes d’approvisionnement.</w:t>
      </w:r>
    </w:p>
    <w:p w14:paraId="06D35DE7" w14:textId="25EEF0D4" w:rsidR="00DA2EBB" w:rsidRPr="00E939C3" w:rsidRDefault="00A4498B" w:rsidP="00DA2EBB">
      <w:pPr>
        <w:numPr>
          <w:ilvl w:val="1"/>
          <w:numId w:val="4"/>
        </w:numPr>
      </w:pPr>
      <w:r w:rsidRPr="00E939C3">
        <w:rPr>
          <w:b/>
          <w:bCs/>
        </w:rPr>
        <w:t xml:space="preserve">Considérations financières : </w:t>
      </w:r>
      <w:r w:rsidRPr="00E939C3">
        <w:t xml:space="preserve">les textiles durables sont certes prioritaires, mais ils sont souvent plus chers que les textiles traditionnels. Compte tenu du nombre important d’uniformes nécessaires pour une équipe de 2 000 </w:t>
      </w:r>
      <w:proofErr w:type="spellStart"/>
      <w:proofErr w:type="gramStart"/>
      <w:r w:rsidRPr="00E939C3">
        <w:t>employé</w:t>
      </w:r>
      <w:proofErr w:type="gramEnd"/>
      <w:r w:rsidRPr="00E939C3">
        <w:t>·e·s</w:t>
      </w:r>
      <w:proofErr w:type="spellEnd"/>
      <w:r w:rsidRPr="00E939C3">
        <w:t xml:space="preserve">, le contrôle des coûts représente un véritable défi. </w:t>
      </w:r>
      <w:proofErr w:type="spellStart"/>
      <w:r w:rsidRPr="00E939C3">
        <w:t>CityHealth</w:t>
      </w:r>
      <w:proofErr w:type="spellEnd"/>
      <w:r w:rsidRPr="00E939C3">
        <w:t xml:space="preserve"> doit équilibrer son budget tout en atteignant ses objectifs en matière de durabilité et d’approvisionnement éthique.</w:t>
      </w:r>
    </w:p>
    <w:p w14:paraId="75C611D9" w14:textId="47350B40" w:rsidR="00DA2EBB" w:rsidRPr="00E939C3" w:rsidRDefault="00A4498B" w:rsidP="00DA2EBB">
      <w:pPr>
        <w:numPr>
          <w:ilvl w:val="1"/>
          <w:numId w:val="4"/>
        </w:numPr>
        <w:rPr>
          <w:b/>
          <w:bCs/>
        </w:rPr>
      </w:pPr>
      <w:r w:rsidRPr="00E939C3">
        <w:rPr>
          <w:b/>
          <w:bCs/>
        </w:rPr>
        <w:t xml:space="preserve">Définition </w:t>
      </w:r>
      <w:r w:rsidRPr="00E939C3">
        <w:t>des</w:t>
      </w:r>
      <w:r w:rsidRPr="00E939C3">
        <w:rPr>
          <w:b/>
          <w:bCs/>
        </w:rPr>
        <w:t xml:space="preserve"> impacts sociaux et environnementaux :</w:t>
      </w:r>
      <w:r w:rsidR="008D0605" w:rsidRPr="00E939C3">
        <w:t xml:space="preserve"> il peut être difficile de définir précisément les impacts de l’approvisionnement textile sur l’environnement et </w:t>
      </w:r>
      <w:r w:rsidR="001B5372" w:rsidRPr="00E939C3">
        <w:t xml:space="preserve">les </w:t>
      </w:r>
      <w:proofErr w:type="spellStart"/>
      <w:r w:rsidR="001B5372" w:rsidRPr="00E939C3">
        <w:t>salarié·e·s</w:t>
      </w:r>
      <w:proofErr w:type="spellEnd"/>
      <w:r w:rsidR="008D0605" w:rsidRPr="00E939C3">
        <w:t>. Par exemple, le choix du coton biologique peut réduire l’utilisation de pesticides, mais nécessite également d’importantes ressources foncières, ce qui peut être incompatible avec d’autres objectifs environnementaux tels que la protection des sols. La recherche de solutions</w:t>
      </w:r>
      <w:r w:rsidR="002941F2" w:rsidRPr="00E939C3">
        <w:t xml:space="preserve"> </w:t>
      </w:r>
      <w:r w:rsidR="008D0605" w:rsidRPr="00E939C3">
        <w:t>qui optimisent à la fois l’impact environnemental et social peut s’avérer être un exercice d’équilibre complexe.</w:t>
      </w:r>
    </w:p>
    <w:p w14:paraId="4AA7B51B" w14:textId="37B40DEE" w:rsidR="00DA2EBB" w:rsidRPr="00E939C3" w:rsidRDefault="005474CD" w:rsidP="00DA2EBB">
      <w:pPr>
        <w:numPr>
          <w:ilvl w:val="1"/>
          <w:numId w:val="4"/>
        </w:numPr>
      </w:pPr>
      <w:r w:rsidRPr="00E939C3">
        <w:rPr>
          <w:b/>
          <w:bCs/>
        </w:rPr>
        <w:t>Disponibilité et innovation des fournisseurs</w:t>
      </w:r>
      <w:r w:rsidRPr="00E939C3">
        <w:t xml:space="preserve"> : il n’existe qu’un nombre limité de fournisseurs proposant à la fois des textiles de haute qualité et les certifications de durabilité exigées par </w:t>
      </w:r>
      <w:proofErr w:type="spellStart"/>
      <w:r w:rsidRPr="00E939C3">
        <w:t>CityHealth</w:t>
      </w:r>
      <w:proofErr w:type="spellEnd"/>
      <w:r w:rsidRPr="00E939C3">
        <w:t>. Beaucoup de petits fournisseurs locaux n’ont pas la capacité d’augmenter leur production pour répondre à la forte demande d</w:t>
      </w:r>
      <w:r w:rsidR="00BA2E89" w:rsidRPr="00E939C3">
        <w:t>’</w:t>
      </w:r>
      <w:r w:rsidRPr="00E939C3">
        <w:t xml:space="preserve">un client du secteur public comme </w:t>
      </w:r>
      <w:proofErr w:type="spellStart"/>
      <w:r w:rsidRPr="00E939C3">
        <w:t>CityHealth</w:t>
      </w:r>
      <w:proofErr w:type="spellEnd"/>
      <w:r w:rsidRPr="00E939C3">
        <w:t>. En plus, certains textiles ne sont pas facilement disponibles dans les modèles et tailles spécifiques requis pour les uniformes, ce qui rend l</w:t>
      </w:r>
      <w:r w:rsidR="00BA2E89" w:rsidRPr="00E939C3">
        <w:t>’</w:t>
      </w:r>
      <w:r w:rsidRPr="00E939C3">
        <w:t>approvisionnement encore plus difficile.</w:t>
      </w:r>
    </w:p>
    <w:p w14:paraId="352A7720" w14:textId="77777777" w:rsidR="00DA2EBB" w:rsidRPr="00E939C3" w:rsidRDefault="00DA2EBB" w:rsidP="00DA2EBB"/>
    <w:p w14:paraId="6D94854B" w14:textId="77777777" w:rsidR="00DA2EBB" w:rsidRPr="00E939C3" w:rsidRDefault="00DA2EBB" w:rsidP="00DA2EBB"/>
    <w:p w14:paraId="1FA4E830" w14:textId="05070CAA" w:rsidR="00A92F57" w:rsidRPr="00E939C3" w:rsidRDefault="00BA2E89" w:rsidP="00A92F57">
      <w:pPr>
        <w:pStyle w:val="berschrift3"/>
        <w:rPr>
          <w:color w:val="auto"/>
        </w:rPr>
      </w:pPr>
      <w:r w:rsidRPr="00E939C3">
        <w:rPr>
          <w:color w:val="auto"/>
        </w:rPr>
        <w:t xml:space="preserve">Scénario 2 Cas </w:t>
      </w:r>
      <w:r w:rsidR="00A30408" w:rsidRPr="00E939C3">
        <w:rPr>
          <w:color w:val="auto"/>
        </w:rPr>
        <w:t>d’achat</w:t>
      </w:r>
      <w:r w:rsidRPr="00E939C3">
        <w:rPr>
          <w:color w:val="auto"/>
        </w:rPr>
        <w:t xml:space="preserve"> fictif : équipement informatique pour une petite commune</w:t>
      </w:r>
    </w:p>
    <w:p w14:paraId="6D009B1C" w14:textId="77777777" w:rsidR="00A92F57" w:rsidRPr="00E939C3" w:rsidRDefault="00A92F57" w:rsidP="00A92F57">
      <w:pPr>
        <w:rPr>
          <w:b/>
          <w:bCs/>
        </w:rPr>
      </w:pPr>
    </w:p>
    <w:p w14:paraId="146C486A" w14:textId="118722EE" w:rsidR="00A92F57" w:rsidRPr="00E939C3" w:rsidRDefault="00BA2E89" w:rsidP="00A92F57">
      <w:pPr>
        <w:rPr>
          <w:lang w:val="de-DE"/>
        </w:rPr>
      </w:pPr>
      <w:r w:rsidRPr="00E939C3">
        <w:rPr>
          <w:b/>
          <w:bCs/>
        </w:rPr>
        <w:t>Informations générales</w:t>
      </w:r>
    </w:p>
    <w:p w14:paraId="1922CF38" w14:textId="0853B22C" w:rsidR="00A92F57" w:rsidRPr="00E939C3" w:rsidRDefault="00BA2E89" w:rsidP="00A92F57">
      <w:pPr>
        <w:numPr>
          <w:ilvl w:val="0"/>
          <w:numId w:val="13"/>
        </w:numPr>
      </w:pPr>
      <w:r w:rsidRPr="00E939C3">
        <w:rPr>
          <w:b/>
          <w:bCs/>
        </w:rPr>
        <w:t xml:space="preserve">Organisation </w:t>
      </w:r>
      <w:r w:rsidRPr="00E939C3">
        <w:t xml:space="preserve">: la municipalité de </w:t>
      </w:r>
      <w:proofErr w:type="spellStart"/>
      <w:r w:rsidRPr="00E939C3">
        <w:t>GreenValley</w:t>
      </w:r>
      <w:proofErr w:type="spellEnd"/>
      <w:r w:rsidRPr="00E939C3">
        <w:t xml:space="preserve"> est une petite ville de 50 000 habitants située dans une zone rurale. Elle fournit des services publics essentiels tels que la gestion des déchets, l’éducation et l’administration locale. Elle dispose d’un service informatique chargé de gérer l’infrastructure numérique de la ville, notamment les réseaux, les services publics et la bureautique.</w:t>
      </w:r>
    </w:p>
    <w:p w14:paraId="67746079" w14:textId="5F4664B6" w:rsidR="00A92F57" w:rsidRPr="00E939C3" w:rsidRDefault="00BA2E89" w:rsidP="00A92F57">
      <w:pPr>
        <w:numPr>
          <w:ilvl w:val="0"/>
          <w:numId w:val="13"/>
        </w:numPr>
      </w:pPr>
      <w:r w:rsidRPr="00E939C3">
        <w:rPr>
          <w:b/>
          <w:bCs/>
        </w:rPr>
        <w:t xml:space="preserve">Étendue du projet : </w:t>
      </w:r>
      <w:r w:rsidRPr="00E939C3">
        <w:t xml:space="preserve">La municipalité doit moderniser son infrastructure informatique, notamment en achetant de nouveaux ordinateurs, imprimantes et </w:t>
      </w:r>
      <w:r w:rsidRPr="00E939C3">
        <w:lastRenderedPageBreak/>
        <w:t>logiciels afin d’améliorer l’efficacité des processus administratifs locaux. Cette modernisation est essentielle pour offrir un meilleur service aux habitants de la ville et garantir la numérisation des services publics. Le projet comprend l’achat de 100 ordinateurs de bureau, 50 ordinateurs portables, 30 imprimantes et plusieurs licences logicielles pour l’administration communale.</w:t>
      </w:r>
    </w:p>
    <w:p w14:paraId="76A5E695" w14:textId="2A92941A" w:rsidR="00A92F57" w:rsidRPr="00E939C3" w:rsidRDefault="00BA2E89" w:rsidP="00A92F57">
      <w:pPr>
        <w:numPr>
          <w:ilvl w:val="0"/>
          <w:numId w:val="13"/>
        </w:numPr>
      </w:pPr>
      <w:r w:rsidRPr="00E939C3">
        <w:rPr>
          <w:b/>
          <w:bCs/>
        </w:rPr>
        <w:t>Objectifs :</w:t>
      </w:r>
      <w:r w:rsidRPr="00E939C3">
        <w:t xml:space="preserve"> l’objectif principal est d’améliorer les capacités informatiques de la commune tout en soutenant les entreprises locales. Les achats doivent inclure des produits respectueux de l’environnement et tenir compte de l’impact social des décisions d’achat. La préférence est donnée à l’achat de ces produits auprès de fournisseurs locaux afin de promouvoir la croissance économique dans la région et de soutenir l’économie locale.</w:t>
      </w:r>
    </w:p>
    <w:p w14:paraId="605EBB15" w14:textId="77777777" w:rsidR="00A92F57" w:rsidRPr="00E939C3" w:rsidRDefault="00A92F57" w:rsidP="00A92F57">
      <w:pPr>
        <w:rPr>
          <w:b/>
          <w:bCs/>
        </w:rPr>
      </w:pPr>
    </w:p>
    <w:p w14:paraId="558BE028" w14:textId="54487832" w:rsidR="00A92F57" w:rsidRPr="00E939C3" w:rsidRDefault="00223AA8" w:rsidP="00A92F57">
      <w:r w:rsidRPr="00E939C3">
        <w:rPr>
          <w:b/>
          <w:bCs/>
        </w:rPr>
        <w:t xml:space="preserve">Exigences en matière de durabilité </w:t>
      </w:r>
    </w:p>
    <w:p w14:paraId="72234C73" w14:textId="795354C4" w:rsidR="00A92F57" w:rsidRPr="00E939C3" w:rsidRDefault="00223AA8" w:rsidP="00A92F57">
      <w:pPr>
        <w:numPr>
          <w:ilvl w:val="0"/>
          <w:numId w:val="14"/>
        </w:numPr>
      </w:pPr>
      <w:r w:rsidRPr="00E939C3">
        <w:rPr>
          <w:b/>
          <w:bCs/>
        </w:rPr>
        <w:t>Critères de durabilité écologique</w:t>
      </w:r>
      <w:r w:rsidRPr="00E939C3">
        <w:t xml:space="preserve"> </w:t>
      </w:r>
    </w:p>
    <w:p w14:paraId="4F38C386" w14:textId="3878EE2E" w:rsidR="00A92F57" w:rsidRPr="00E939C3" w:rsidRDefault="00223AA8" w:rsidP="00A92F57">
      <w:pPr>
        <w:numPr>
          <w:ilvl w:val="1"/>
          <w:numId w:val="14"/>
        </w:numPr>
      </w:pPr>
      <w:r w:rsidRPr="00E939C3">
        <w:rPr>
          <w:b/>
          <w:bCs/>
        </w:rPr>
        <w:t>Efficacité énergétique</w:t>
      </w:r>
      <w:r w:rsidRPr="00E939C3">
        <w:t xml:space="preserve"> : tous les produits informatiques (ordinateurs, imprimantes, etc.) doivent respecter les normes d’efficacité énergétique, telles que la certification COT, qui indique une consommation d'énergie réduite pendant le fonctionnement. Les appareils doivent être économes en énergie afin de réduire l’empreinte carbone de la commune.</w:t>
      </w:r>
    </w:p>
    <w:p w14:paraId="4FB1CD50" w14:textId="4E310D6E" w:rsidR="00A92F57" w:rsidRPr="00E939C3" w:rsidRDefault="00223AA8" w:rsidP="00A92F57">
      <w:pPr>
        <w:numPr>
          <w:ilvl w:val="1"/>
          <w:numId w:val="14"/>
        </w:numPr>
      </w:pPr>
      <w:r w:rsidRPr="00E939C3">
        <w:rPr>
          <w:b/>
          <w:bCs/>
        </w:rPr>
        <w:t>Gestion des déchets électroniques</w:t>
      </w:r>
      <w:r w:rsidRPr="00E939C3">
        <w:t xml:space="preserve"> : les fournisseurs doivent proposer des programmes de reprise ou de recyclage des anciens équipements informatiques. La municipalité s’efforce de réduire l’impact environnemental des déchets électroniques et de garantir que les technologies mises au rebut sont éliminées de manière responsable.</w:t>
      </w:r>
    </w:p>
    <w:p w14:paraId="731E4389" w14:textId="4ADD2521" w:rsidR="00A92F57" w:rsidRPr="00E939C3" w:rsidRDefault="00223AA8" w:rsidP="00A92F57">
      <w:pPr>
        <w:numPr>
          <w:ilvl w:val="1"/>
          <w:numId w:val="14"/>
        </w:numPr>
      </w:pPr>
      <w:r w:rsidRPr="00E939C3">
        <w:rPr>
          <w:b/>
          <w:bCs/>
        </w:rPr>
        <w:t xml:space="preserve">Matériaux durables : </w:t>
      </w:r>
      <w:r w:rsidRPr="00E939C3">
        <w:t>la préférence est donnée aux équipements informatiques fabriqués à partir de matériaux recyclés ou recyclables, en particulier pour les pièces en plastique et en métal des produits.</w:t>
      </w:r>
    </w:p>
    <w:p w14:paraId="6FC93E10" w14:textId="77777777" w:rsidR="00A92F57" w:rsidRPr="00E939C3" w:rsidRDefault="00A92F57" w:rsidP="00A92F57"/>
    <w:p w14:paraId="519152C9" w14:textId="77777777" w:rsidR="00A92F57" w:rsidRPr="00E939C3" w:rsidRDefault="00A92F57" w:rsidP="00A92F57"/>
    <w:p w14:paraId="6B11D7ED" w14:textId="20E6399C" w:rsidR="00A92F57" w:rsidRPr="00E939C3" w:rsidRDefault="00223AA8" w:rsidP="00A92F57">
      <w:pPr>
        <w:numPr>
          <w:ilvl w:val="0"/>
          <w:numId w:val="14"/>
        </w:numPr>
        <w:rPr>
          <w:b/>
          <w:bCs/>
          <w:lang w:val="de-DE"/>
        </w:rPr>
      </w:pPr>
      <w:proofErr w:type="spellStart"/>
      <w:r w:rsidRPr="00E939C3">
        <w:rPr>
          <w:b/>
          <w:bCs/>
          <w:lang w:val="de-DE"/>
        </w:rPr>
        <w:t>Critères</w:t>
      </w:r>
      <w:proofErr w:type="spellEnd"/>
      <w:r w:rsidRPr="00E939C3">
        <w:rPr>
          <w:b/>
          <w:bCs/>
          <w:lang w:val="de-DE"/>
        </w:rPr>
        <w:t xml:space="preserve"> de </w:t>
      </w:r>
      <w:proofErr w:type="spellStart"/>
      <w:r w:rsidRPr="00E939C3">
        <w:rPr>
          <w:b/>
          <w:bCs/>
          <w:lang w:val="de-DE"/>
        </w:rPr>
        <w:t>durabilité</w:t>
      </w:r>
      <w:proofErr w:type="spellEnd"/>
      <w:r w:rsidRPr="00E939C3">
        <w:rPr>
          <w:b/>
          <w:bCs/>
          <w:lang w:val="de-DE"/>
        </w:rPr>
        <w:t xml:space="preserve"> </w:t>
      </w:r>
      <w:proofErr w:type="spellStart"/>
      <w:r w:rsidRPr="00E939C3">
        <w:rPr>
          <w:b/>
          <w:bCs/>
          <w:lang w:val="de-DE"/>
        </w:rPr>
        <w:t>sociale</w:t>
      </w:r>
      <w:proofErr w:type="spellEnd"/>
    </w:p>
    <w:p w14:paraId="2695945D" w14:textId="25DB0A08" w:rsidR="00A92F57" w:rsidRPr="00E939C3" w:rsidRDefault="001A4FB0" w:rsidP="00A92F57">
      <w:pPr>
        <w:numPr>
          <w:ilvl w:val="1"/>
          <w:numId w:val="14"/>
        </w:numPr>
      </w:pPr>
      <w:r w:rsidRPr="00E939C3">
        <w:rPr>
          <w:b/>
          <w:bCs/>
        </w:rPr>
        <w:t>Soutien à l’économie locale</w:t>
      </w:r>
      <w:r w:rsidRPr="00E939C3">
        <w:t xml:space="preserve"> : la commune a l’intention de privilégier les fournisseurs locaux qui proposent des équipements et des services informatiques dans une zone régionale définie. Les fournisseurs doivent pouvoir prouver qu’ils exercent leur activité au sein de la commune ou dans les régions voisines, qu’ils créent des emplois locaux et qu’ils contribuent au développement régional.</w:t>
      </w:r>
    </w:p>
    <w:p w14:paraId="5369719A" w14:textId="5F1C9305" w:rsidR="00A92F57" w:rsidRPr="00E939C3" w:rsidRDefault="001A4FB0" w:rsidP="00A92F57">
      <w:pPr>
        <w:numPr>
          <w:ilvl w:val="1"/>
          <w:numId w:val="14"/>
        </w:numPr>
      </w:pPr>
      <w:r w:rsidRPr="00E939C3">
        <w:rPr>
          <w:b/>
          <w:bCs/>
        </w:rPr>
        <w:t>Conditions de travail équitables</w:t>
      </w:r>
      <w:r w:rsidRPr="00E939C3">
        <w:t xml:space="preserve"> : la municipalité attend de tous ses fournisseurs informatiques qu’ils respectent des normes de travail équitables, notamment des salaires équitables, des horaires de travail raisonnables et un engagement en faveur de la sécurité sur le lieu de travail.</w:t>
      </w:r>
    </w:p>
    <w:p w14:paraId="0F37F52B" w14:textId="664116E8" w:rsidR="00A92F57" w:rsidRPr="00E939C3" w:rsidRDefault="001A4FB0" w:rsidP="00A92F57">
      <w:pPr>
        <w:numPr>
          <w:ilvl w:val="1"/>
          <w:numId w:val="14"/>
        </w:numPr>
      </w:pPr>
      <w:r w:rsidRPr="00E939C3">
        <w:rPr>
          <w:b/>
          <w:bCs/>
        </w:rPr>
        <w:t>Engagement envers la communauté</w:t>
      </w:r>
      <w:r w:rsidRPr="00E939C3">
        <w:t xml:space="preserve"> : les fournisseurs locaux devraient participer à des projets ou initiatives communautaires, par exemple en dispensant des formations aux compétences numériques ou en facilitant l’accès public aux technologies pour les groupes défavorisés de la ville.</w:t>
      </w:r>
    </w:p>
    <w:p w14:paraId="5CBBE969" w14:textId="77777777" w:rsidR="00A92F57" w:rsidRPr="00E939C3" w:rsidRDefault="00A92F57" w:rsidP="00A92F57">
      <w:pPr>
        <w:rPr>
          <w:b/>
          <w:bCs/>
        </w:rPr>
      </w:pPr>
    </w:p>
    <w:p w14:paraId="7150C2D0" w14:textId="77777777" w:rsidR="009F557F" w:rsidRDefault="009F557F">
      <w:pPr>
        <w:rPr>
          <w:b/>
          <w:bCs/>
        </w:rPr>
      </w:pPr>
      <w:r>
        <w:rPr>
          <w:b/>
          <w:bCs/>
        </w:rPr>
        <w:br w:type="page"/>
      </w:r>
    </w:p>
    <w:p w14:paraId="70C52C63" w14:textId="475A613A" w:rsidR="00A92F57" w:rsidRPr="00E939C3" w:rsidRDefault="001A4FB0" w:rsidP="00A92F57">
      <w:r w:rsidRPr="00E939C3">
        <w:rPr>
          <w:b/>
          <w:bCs/>
        </w:rPr>
        <w:lastRenderedPageBreak/>
        <w:t>Exigences légales</w:t>
      </w:r>
      <w:r w:rsidR="00D06692" w:rsidRPr="00E939C3">
        <w:rPr>
          <w:b/>
          <w:bCs/>
        </w:rPr>
        <w:t> :</w:t>
      </w:r>
    </w:p>
    <w:p w14:paraId="5744D3E4" w14:textId="1C434C73" w:rsidR="00A92F57" w:rsidRPr="00E939C3" w:rsidRDefault="001A4FB0" w:rsidP="00A92F57">
      <w:pPr>
        <w:numPr>
          <w:ilvl w:val="0"/>
          <w:numId w:val="15"/>
        </w:numPr>
      </w:pPr>
      <w:r w:rsidRPr="00E939C3">
        <w:rPr>
          <w:b/>
          <w:bCs/>
        </w:rPr>
        <w:t>Règles relatives aux marchés publics</w:t>
      </w:r>
      <w:r w:rsidRPr="00E939C3">
        <w:t xml:space="preserve"> : la procédure d’achat doit être conforme aux lois nationales et régionales régissant les marchés publics, y compris les règles relatives aux appels d’offres et à la transparence. Cela signifie que la municipalité doit garantir à tous les fournisseurs un accès égal à la procédure d’appel d'offres et suivre les procédures appropriées lors de l’évaluation des offres.</w:t>
      </w:r>
    </w:p>
    <w:p w14:paraId="0681AA79" w14:textId="660B0782" w:rsidR="00A92F57" w:rsidRPr="00E939C3" w:rsidRDefault="008332F1" w:rsidP="008332F1">
      <w:pPr>
        <w:numPr>
          <w:ilvl w:val="0"/>
          <w:numId w:val="15"/>
        </w:numPr>
        <w:rPr>
          <w:b/>
          <w:bCs/>
        </w:rPr>
      </w:pPr>
      <w:r w:rsidRPr="00E939C3">
        <w:rPr>
          <w:b/>
          <w:bCs/>
        </w:rPr>
        <w:t>Règles</w:t>
      </w:r>
      <w:r w:rsidR="001A4FB0" w:rsidRPr="00E939C3">
        <w:rPr>
          <w:b/>
          <w:bCs/>
        </w:rPr>
        <w:t xml:space="preserve"> européennes sur </w:t>
      </w:r>
      <w:r w:rsidR="00D06692" w:rsidRPr="00E939C3">
        <w:rPr>
          <w:b/>
          <w:bCs/>
        </w:rPr>
        <w:t>la passation de</w:t>
      </w:r>
      <w:r w:rsidRPr="00E939C3">
        <w:rPr>
          <w:b/>
          <w:bCs/>
        </w:rPr>
        <w:t>s</w:t>
      </w:r>
      <w:r w:rsidR="00D06692" w:rsidRPr="00E939C3">
        <w:rPr>
          <w:b/>
          <w:bCs/>
        </w:rPr>
        <w:t xml:space="preserve"> marchés publics</w:t>
      </w:r>
      <w:r w:rsidRPr="00E939C3">
        <w:rPr>
          <w:b/>
          <w:bCs/>
        </w:rPr>
        <w:t xml:space="preserve"> </w:t>
      </w:r>
      <w:r w:rsidR="001A4FB0" w:rsidRPr="00E939C3">
        <w:t xml:space="preserve">: le cas échéant, les achats doivent également être conformes à la </w:t>
      </w:r>
      <w:r w:rsidR="001A4FB0" w:rsidRPr="00E939C3">
        <w:rPr>
          <w:b/>
          <w:bCs/>
        </w:rPr>
        <w:t xml:space="preserve">directive européenne 2014/24/UE sur </w:t>
      </w:r>
      <w:r w:rsidRPr="00E939C3">
        <w:rPr>
          <w:b/>
          <w:bCs/>
        </w:rPr>
        <w:t>la passation des</w:t>
      </w:r>
      <w:r w:rsidR="001A4FB0" w:rsidRPr="00E939C3">
        <w:rPr>
          <w:b/>
          <w:bCs/>
        </w:rPr>
        <w:t xml:space="preserve"> marchés publics</w:t>
      </w:r>
      <w:r w:rsidR="001A4FB0" w:rsidRPr="00E939C3">
        <w:t>, qui encourage les pouvoirs publics à intégrer des critères environnementaux et sociaux dans le processus d’achat.</w:t>
      </w:r>
    </w:p>
    <w:p w14:paraId="377592DD" w14:textId="559DB901" w:rsidR="00A92F57" w:rsidRPr="00E939C3" w:rsidRDefault="001A4FB0" w:rsidP="00A92F57">
      <w:pPr>
        <w:numPr>
          <w:ilvl w:val="0"/>
          <w:numId w:val="15"/>
        </w:numPr>
      </w:pPr>
      <w:r w:rsidRPr="00E939C3">
        <w:rPr>
          <w:b/>
          <w:bCs/>
        </w:rPr>
        <w:t xml:space="preserve">Exigences en matière d'approvisionnement local </w:t>
      </w:r>
      <w:r w:rsidRPr="00E939C3">
        <w:t>: lorsqu’elle accorde la préférence aux fournisseurs locaux, la commune doit s’assurer que ces préférences ne violent pas les lois anti-discrimination et respectent les exigences du droit de la concurrence. Les fournisseurs locaux doivent être en mesure de concurrencer équitablement dans le processus d’approvisionnement sur la base du prix, de la qualité et du respect des critères de durabilité.</w:t>
      </w:r>
    </w:p>
    <w:p w14:paraId="18FBD0C6" w14:textId="77777777" w:rsidR="00A92F57" w:rsidRPr="00E939C3" w:rsidRDefault="00A92F57" w:rsidP="00A92F57">
      <w:pPr>
        <w:rPr>
          <w:b/>
          <w:bCs/>
        </w:rPr>
      </w:pPr>
    </w:p>
    <w:p w14:paraId="348FF6E3" w14:textId="5A2B0007" w:rsidR="00A92F57" w:rsidRPr="00E939C3" w:rsidRDefault="00D03582" w:rsidP="00A92F57">
      <w:r w:rsidRPr="00E939C3">
        <w:rPr>
          <w:b/>
          <w:bCs/>
        </w:rPr>
        <w:t>Défis</w:t>
      </w:r>
      <w:r w:rsidR="00562418" w:rsidRPr="00E939C3">
        <w:rPr>
          <w:b/>
          <w:bCs/>
        </w:rPr>
        <w:t> :</w:t>
      </w:r>
    </w:p>
    <w:p w14:paraId="11FF2AB3" w14:textId="3917AE30" w:rsidR="00A92F57" w:rsidRPr="00E939C3" w:rsidRDefault="00D03582" w:rsidP="00A92F57">
      <w:pPr>
        <w:numPr>
          <w:ilvl w:val="0"/>
          <w:numId w:val="16"/>
        </w:numPr>
      </w:pPr>
      <w:r w:rsidRPr="00E939C3">
        <w:rPr>
          <w:b/>
          <w:bCs/>
        </w:rPr>
        <w:t>Base de fournisseurs limitée :</w:t>
      </w:r>
      <w:r w:rsidRPr="00E939C3">
        <w:t xml:space="preserve"> en tant que petite commune située dans une région rurale, </w:t>
      </w:r>
      <w:proofErr w:type="spellStart"/>
      <w:r w:rsidRPr="00E939C3">
        <w:t>GreenValley</w:t>
      </w:r>
      <w:proofErr w:type="spellEnd"/>
      <w:r w:rsidRPr="00E939C3">
        <w:t xml:space="preserve"> ne dispose que d’un nombre limité de fournisseurs locaux répondant aux normes requises pour les produits informatiques. De nombreuses entreprises locales ne proposent que des services mineurs ou ne sont pas en mesure de fournir toute la gamme d’équipements informatiques nécessaires (par exemple, des ordinateurs de bureau et des imprimantes </w:t>
      </w:r>
      <w:r w:rsidR="00562418" w:rsidRPr="00E939C3">
        <w:t>haute vitesse</w:t>
      </w:r>
      <w:r w:rsidRPr="00E939C3">
        <w:t>).</w:t>
      </w:r>
    </w:p>
    <w:p w14:paraId="0515CC67" w14:textId="5C824B77" w:rsidR="00A92F57" w:rsidRPr="00E939C3" w:rsidRDefault="00D03582" w:rsidP="00A92F57">
      <w:pPr>
        <w:numPr>
          <w:ilvl w:val="0"/>
          <w:numId w:val="16"/>
        </w:numPr>
      </w:pPr>
      <w:r w:rsidRPr="00E939C3">
        <w:rPr>
          <w:b/>
          <w:bCs/>
        </w:rPr>
        <w:t xml:space="preserve">Équilibre entre préférence locale et qualité des produits </w:t>
      </w:r>
      <w:r w:rsidRPr="00E939C3">
        <w:t>: la municipalité souhaite privilégier les fournisseurs locaux, mais doit également s’assurer que les produits informatiques répondent à des normes élevées en matière de qualité, de durabilité et de performances. Le défi consiste à concilier la volonté de soutenir les entreprises locales et la nécessité d’obtenir des prix compétitifs et des équipements de haute qualité, conformes aux normes modernes.</w:t>
      </w:r>
    </w:p>
    <w:p w14:paraId="304F47D0" w14:textId="0D9600E1" w:rsidR="00A92F57" w:rsidRPr="00E939C3" w:rsidRDefault="00D03582" w:rsidP="00A92F57">
      <w:pPr>
        <w:numPr>
          <w:ilvl w:val="0"/>
          <w:numId w:val="16"/>
        </w:numPr>
      </w:pPr>
      <w:r w:rsidRPr="00E939C3">
        <w:rPr>
          <w:b/>
          <w:bCs/>
        </w:rPr>
        <w:t xml:space="preserve">Considérations financières </w:t>
      </w:r>
      <w:r w:rsidRPr="00E939C3">
        <w:t>: les fournisseurs locaux n’offrent pas toujours les options les plus économiques par rapport aux fournisseurs nationaux ou internationaux. Cela pourrait entraîner des coûts plus élevés pour la commune et éventuellement des restrictions budgétaires. L’équipe chargée des achats doit s'assurer que les fournisseurs locaux peuvent proposer des prix compétitifs tout en respectant les normes environnementales et sociales.</w:t>
      </w:r>
    </w:p>
    <w:p w14:paraId="6C82B979" w14:textId="4EAC79C0" w:rsidR="00A92F57" w:rsidRPr="00E939C3" w:rsidRDefault="00D03582" w:rsidP="00A92F57">
      <w:pPr>
        <w:numPr>
          <w:ilvl w:val="0"/>
          <w:numId w:val="16"/>
        </w:numPr>
      </w:pPr>
      <w:r w:rsidRPr="00E939C3">
        <w:rPr>
          <w:b/>
          <w:bCs/>
        </w:rPr>
        <w:t>Innovation technologique et</w:t>
      </w:r>
      <w:r w:rsidRPr="00E939C3">
        <w:t xml:space="preserve"> </w:t>
      </w:r>
      <w:r w:rsidRPr="00E939C3">
        <w:rPr>
          <w:b/>
          <w:bCs/>
        </w:rPr>
        <w:t xml:space="preserve">assistance </w:t>
      </w:r>
      <w:r w:rsidRPr="00E939C3">
        <w:t>: les petits fournisseurs locaux n'ont pas toujours accès aux dernières technologies ou aux ressources nécessaires pour fournir une assistance et des mises à jour continues pour les produits informatiques. Il peut être difficile de s’assurer que les fournisseurs locaux sont en mesure d’offrir une assistance à long terme pour la technologie (y compris les mises à jour logicielles, la maintenance et le dépannage), en particulier pour les produits qui nécessitent une maintenance ou des mises à jour régulières.</w:t>
      </w:r>
    </w:p>
    <w:p w14:paraId="6E1238A9" w14:textId="49C79590" w:rsidR="00A92F57" w:rsidRPr="00E939C3" w:rsidRDefault="00D03582" w:rsidP="00A92F57">
      <w:pPr>
        <w:numPr>
          <w:ilvl w:val="0"/>
          <w:numId w:val="16"/>
        </w:numPr>
      </w:pPr>
      <w:r w:rsidRPr="00E939C3">
        <w:rPr>
          <w:b/>
          <w:bCs/>
        </w:rPr>
        <w:t>Élimination des déchets électroniques</w:t>
      </w:r>
      <w:r w:rsidRPr="00E939C3">
        <w:t xml:space="preserve"> : bien que la municipalité se soit engagée à réduire ses déchets électroniques, il peut être difficile de trouver des </w:t>
      </w:r>
      <w:r w:rsidRPr="00E939C3">
        <w:lastRenderedPageBreak/>
        <w:t>fournisseurs locaux proposant des programmes responsables d'élimination ou de recyclage des appareils obsolètes. De nombreux grands fournisseurs ont mis en place des programmes de reprise et des installations de recyclage, mais les petites entreprises locales peuvent ne pas disposer des ressources nécessaires pour offrir des services similaires.</w:t>
      </w:r>
    </w:p>
    <w:p w14:paraId="4C14A634" w14:textId="08C194DA" w:rsidR="00A92F57" w:rsidRPr="00E939C3" w:rsidRDefault="00A30408" w:rsidP="00A92F57">
      <w:pPr>
        <w:numPr>
          <w:ilvl w:val="0"/>
          <w:numId w:val="16"/>
        </w:numPr>
      </w:pPr>
      <w:r w:rsidRPr="00E939C3">
        <w:rPr>
          <w:b/>
          <w:bCs/>
        </w:rPr>
        <w:t>Capacité des fournisseurs à honorer les commandes importantes</w:t>
      </w:r>
      <w:r w:rsidRPr="00E939C3">
        <w:t xml:space="preserve"> : les fournisseurs locaux pourraient </w:t>
      </w:r>
      <w:proofErr w:type="gramStart"/>
      <w:r w:rsidRPr="00E939C3">
        <w:t>avoir</w:t>
      </w:r>
      <w:proofErr w:type="gramEnd"/>
      <w:r w:rsidRPr="00E939C3">
        <w:t xml:space="preserve"> des difficultés à satisfaire l’ensemble de la demande en matière de commandes importantes d’équipements informatiques, en particulier lorsqu’il s’agit d'acheter de grandes quantités de certains produits, tels que des ordinateurs et des imprimantes. Cela pourrait obliger la municipalité à réduire la quantité de certains articles ou à chercher en dehors du marché local afin de répondre aux besoins du projet.</w:t>
      </w:r>
    </w:p>
    <w:p w14:paraId="1F39106F" w14:textId="77777777" w:rsidR="00A92F57" w:rsidRPr="00E939C3" w:rsidRDefault="00A92F57" w:rsidP="00A92F57"/>
    <w:p w14:paraId="6B384544" w14:textId="77777777" w:rsidR="00A92F57" w:rsidRPr="00E939C3" w:rsidRDefault="00A92F57" w:rsidP="00A92F57"/>
    <w:p w14:paraId="102AD041" w14:textId="05984EC7" w:rsidR="00DA2EBB" w:rsidRPr="00E939C3" w:rsidRDefault="00A30408" w:rsidP="00DA2EBB">
      <w:pPr>
        <w:pStyle w:val="berschrift3"/>
        <w:rPr>
          <w:rFonts w:eastAsiaTheme="minorHAnsi"/>
          <w:color w:val="auto"/>
        </w:rPr>
      </w:pPr>
      <w:r w:rsidRPr="00E939C3">
        <w:rPr>
          <w:rFonts w:eastAsiaTheme="minorHAnsi"/>
          <w:color w:val="auto"/>
        </w:rPr>
        <w:t>Scénario 3</w:t>
      </w:r>
      <w:r w:rsidR="00562418" w:rsidRPr="00E939C3">
        <w:rPr>
          <w:rFonts w:eastAsiaTheme="minorHAnsi"/>
          <w:color w:val="auto"/>
        </w:rPr>
        <w:t> :</w:t>
      </w:r>
      <w:r w:rsidRPr="00E939C3">
        <w:rPr>
          <w:rFonts w:eastAsiaTheme="minorHAnsi"/>
          <w:color w:val="auto"/>
        </w:rPr>
        <w:t xml:space="preserve"> Cas d’achat fictif : matériaux de construction écologiques pour la construction d'une école publique</w:t>
      </w:r>
    </w:p>
    <w:p w14:paraId="7C60433E" w14:textId="77777777" w:rsidR="00DA2EBB" w:rsidRPr="00E939C3" w:rsidRDefault="00DA2EBB" w:rsidP="00DA2EBB">
      <w:pPr>
        <w:rPr>
          <w:b/>
          <w:bCs/>
        </w:rPr>
      </w:pPr>
    </w:p>
    <w:p w14:paraId="558416AB" w14:textId="3F12CE95" w:rsidR="00DA2EBB" w:rsidRPr="00E939C3" w:rsidRDefault="00A30408" w:rsidP="00DA2EBB">
      <w:r w:rsidRPr="00E939C3">
        <w:rPr>
          <w:b/>
          <w:bCs/>
        </w:rPr>
        <w:t>Informations générales</w:t>
      </w:r>
    </w:p>
    <w:p w14:paraId="47667BC8" w14:textId="4F8BFD00" w:rsidR="00DA2EBB" w:rsidRPr="00E939C3" w:rsidRDefault="00A30408" w:rsidP="00DA2EBB">
      <w:pPr>
        <w:numPr>
          <w:ilvl w:val="0"/>
          <w:numId w:val="8"/>
        </w:numPr>
      </w:pPr>
      <w:r w:rsidRPr="00E939C3">
        <w:rPr>
          <w:b/>
          <w:bCs/>
        </w:rPr>
        <w:t>Organisation :</w:t>
      </w:r>
      <w:r w:rsidRPr="00E939C3">
        <w:t xml:space="preserve"> </w:t>
      </w:r>
      <w:proofErr w:type="spellStart"/>
      <w:r w:rsidRPr="00E939C3">
        <w:rPr>
          <w:b/>
          <w:bCs/>
        </w:rPr>
        <w:t>GreenCity</w:t>
      </w:r>
      <w:proofErr w:type="spellEnd"/>
      <w:r w:rsidRPr="00E939C3">
        <w:rPr>
          <w:b/>
          <w:bCs/>
        </w:rPr>
        <w:t>, une autorité locale de taille moyenne.</w:t>
      </w:r>
    </w:p>
    <w:p w14:paraId="41A78372" w14:textId="4875BECB" w:rsidR="00DA2EBB" w:rsidRPr="00E939C3" w:rsidRDefault="00A30408" w:rsidP="00DA2EBB">
      <w:pPr>
        <w:numPr>
          <w:ilvl w:val="0"/>
          <w:numId w:val="8"/>
        </w:numPr>
      </w:pPr>
      <w:r w:rsidRPr="00E939C3">
        <w:rPr>
          <w:b/>
          <w:bCs/>
        </w:rPr>
        <w:t>Étendue du projet</w:t>
      </w:r>
      <w:r w:rsidRPr="00E939C3">
        <w:t xml:space="preserve"> : le projet comprend la construction d’une nouvelle école publique au centre de la commune, qui devrait accueillir 300 élèves. Lors de la construction du bâtiment scolaire, une grande importance sera accordée à la durabilité et à l’efficacité énergétique.</w:t>
      </w:r>
    </w:p>
    <w:p w14:paraId="526A7372" w14:textId="778570F0" w:rsidR="00DA2EBB" w:rsidRPr="00E939C3" w:rsidRDefault="00A30408" w:rsidP="00DA2EBB">
      <w:pPr>
        <w:numPr>
          <w:ilvl w:val="0"/>
          <w:numId w:val="8"/>
        </w:numPr>
      </w:pPr>
      <w:r w:rsidRPr="00E939C3">
        <w:rPr>
          <w:b/>
          <w:bCs/>
        </w:rPr>
        <w:t xml:space="preserve">Objectifs </w:t>
      </w:r>
      <w:r w:rsidRPr="00E939C3">
        <w:t>: l’objectif principal est de concevoir et de construire une école moderne et respectueuse de l’environnement, répondant aux normes de durabilité les plus élevées. Les principaux objectifs comprennent la réduction de l</w:t>
      </w:r>
      <w:r w:rsidR="00B43661" w:rsidRPr="00E939C3">
        <w:t>’</w:t>
      </w:r>
      <w:r w:rsidRPr="00E939C3">
        <w:t>empreinte carbone du bâtiment, l</w:t>
      </w:r>
      <w:r w:rsidR="00B43661" w:rsidRPr="00E939C3">
        <w:t>’</w:t>
      </w:r>
      <w:r w:rsidRPr="00E939C3">
        <w:t>utilisation de matériaux renouvelables et la garantie d</w:t>
      </w:r>
      <w:r w:rsidR="00B43661" w:rsidRPr="00E939C3">
        <w:t>’</w:t>
      </w:r>
      <w:r w:rsidRPr="00E939C3">
        <w:t>une efficacité énergétique à long terme dans son fonctionnement.</w:t>
      </w:r>
    </w:p>
    <w:p w14:paraId="553287CA" w14:textId="77777777" w:rsidR="00745137" w:rsidRPr="00E939C3" w:rsidRDefault="00745137" w:rsidP="00DA2EBB">
      <w:pPr>
        <w:rPr>
          <w:b/>
          <w:bCs/>
        </w:rPr>
      </w:pPr>
    </w:p>
    <w:p w14:paraId="58DBBDBF" w14:textId="554AAB0F" w:rsidR="00DA2EBB" w:rsidRPr="00E939C3" w:rsidRDefault="00B43661" w:rsidP="00DA2EBB">
      <w:r w:rsidRPr="00E939C3">
        <w:rPr>
          <w:b/>
          <w:bCs/>
        </w:rPr>
        <w:t>Exigences en matière de durabilité</w:t>
      </w:r>
    </w:p>
    <w:p w14:paraId="010B205B" w14:textId="2C9152AA" w:rsidR="00DA2EBB" w:rsidRPr="00E939C3" w:rsidRDefault="00B43661" w:rsidP="00DA2EBB">
      <w:pPr>
        <w:numPr>
          <w:ilvl w:val="0"/>
          <w:numId w:val="9"/>
        </w:numPr>
      </w:pPr>
      <w:r w:rsidRPr="00E939C3">
        <w:rPr>
          <w:b/>
          <w:bCs/>
        </w:rPr>
        <w:t>Efficacité énergétique</w:t>
      </w:r>
      <w:r w:rsidRPr="00E939C3">
        <w:t xml:space="preserve"> : le bâtiment scolaire doit être conçu de manière à minimiser la consommation d’énergie grâce à l’utilisation d’une isolation avancée, de systèmes d’éclairage économes en énergie et de sources d’énergie renouvelables (par exemple, des panneaux solaires). Tous les matériaux de construction doivent contribuer à économiser l’énergie pendant toute la durée de vie du bâtiment.</w:t>
      </w:r>
    </w:p>
    <w:p w14:paraId="22E4FFFA" w14:textId="5E1D1308" w:rsidR="00DA2EBB" w:rsidRPr="00E939C3" w:rsidRDefault="00B43661" w:rsidP="00DA2EBB">
      <w:pPr>
        <w:numPr>
          <w:ilvl w:val="0"/>
          <w:numId w:val="9"/>
        </w:numPr>
      </w:pPr>
      <w:r w:rsidRPr="00E939C3">
        <w:rPr>
          <w:b/>
          <w:bCs/>
        </w:rPr>
        <w:t>Réduction des déchets</w:t>
      </w:r>
      <w:r w:rsidRPr="00E939C3">
        <w:t xml:space="preserve"> : un plan de gestion des déchets doit être intégré au processus d’approvisionnement afin de garantir la réduction des déchets de construction et le recyclage ou la réutilisation des matériaux. La préférence est donnée aux fournisseurs qui proposent des produits avec un emballage minimal et des matériaux recyclables.</w:t>
      </w:r>
    </w:p>
    <w:p w14:paraId="463CE726" w14:textId="1C6FFA7E" w:rsidR="00DA2EBB" w:rsidRPr="00E939C3" w:rsidRDefault="00B43661" w:rsidP="00DA2EBB">
      <w:pPr>
        <w:numPr>
          <w:ilvl w:val="0"/>
          <w:numId w:val="9"/>
        </w:numPr>
      </w:pPr>
      <w:r w:rsidRPr="00E939C3">
        <w:rPr>
          <w:b/>
          <w:bCs/>
        </w:rPr>
        <w:t>Critères de durabilité</w:t>
      </w:r>
      <w:r w:rsidRPr="00E939C3">
        <w:t xml:space="preserve"> : tous les fournisseurs doivent répondre à certains critères de durabilité, notamment</w:t>
      </w:r>
    </w:p>
    <w:p w14:paraId="297C6D2B" w14:textId="352C015A" w:rsidR="00DA2EBB" w:rsidRPr="00E939C3" w:rsidRDefault="00E90996" w:rsidP="00DA2EBB">
      <w:pPr>
        <w:numPr>
          <w:ilvl w:val="1"/>
          <w:numId w:val="9"/>
        </w:numPr>
      </w:pPr>
      <w:proofErr w:type="gramStart"/>
      <w:r w:rsidRPr="00E939C3">
        <w:rPr>
          <w:b/>
          <w:bCs/>
        </w:rPr>
        <w:t>a</w:t>
      </w:r>
      <w:r w:rsidR="00B43661" w:rsidRPr="00E939C3">
        <w:rPr>
          <w:b/>
          <w:bCs/>
        </w:rPr>
        <w:t>pprovisionnement</w:t>
      </w:r>
      <w:proofErr w:type="gramEnd"/>
      <w:r w:rsidR="00B43661" w:rsidRPr="00E939C3">
        <w:rPr>
          <w:b/>
          <w:bCs/>
        </w:rPr>
        <w:t xml:space="preserve"> en matériaux durables</w:t>
      </w:r>
      <w:r w:rsidR="00B43661" w:rsidRPr="00E939C3">
        <w:t xml:space="preserve"> : utilisation de matériaux certifiés selon des normes de durabilité reconnues (par exemple, bois certifié FSC, béton à faible teneur en carbone)</w:t>
      </w:r>
      <w:r w:rsidRPr="00E939C3">
        <w:t> ;</w:t>
      </w:r>
    </w:p>
    <w:p w14:paraId="2574CA03" w14:textId="7773E793" w:rsidR="00DA2EBB" w:rsidRPr="00E939C3" w:rsidRDefault="00E90996" w:rsidP="00DA2EBB">
      <w:pPr>
        <w:numPr>
          <w:ilvl w:val="1"/>
          <w:numId w:val="9"/>
        </w:numPr>
      </w:pPr>
      <w:proofErr w:type="gramStart"/>
      <w:r w:rsidRPr="00E939C3">
        <w:rPr>
          <w:b/>
          <w:bCs/>
        </w:rPr>
        <w:lastRenderedPageBreak/>
        <w:t>i</w:t>
      </w:r>
      <w:r w:rsidR="00B43661" w:rsidRPr="00E939C3">
        <w:rPr>
          <w:b/>
          <w:bCs/>
        </w:rPr>
        <w:t>mpact</w:t>
      </w:r>
      <w:proofErr w:type="gramEnd"/>
      <w:r w:rsidR="00B43661" w:rsidRPr="00E939C3">
        <w:rPr>
          <w:b/>
          <w:bCs/>
        </w:rPr>
        <w:t xml:space="preserve"> environnemental</w:t>
      </w:r>
      <w:r w:rsidR="00B43661" w:rsidRPr="00E939C3">
        <w:t xml:space="preserve"> : produits ayant un faible impact environnemental tout au long de leur cycle de vie, par exemple faibles émissions de COV (composés organiques volatils) dans les peintures et les vernis</w:t>
      </w:r>
      <w:r w:rsidRPr="00E939C3">
        <w:t> ;</w:t>
      </w:r>
    </w:p>
    <w:p w14:paraId="0C76A232" w14:textId="3E4CEAC7" w:rsidR="00DA2EBB" w:rsidRPr="00E939C3" w:rsidRDefault="00E90996" w:rsidP="00DA2EBB">
      <w:pPr>
        <w:numPr>
          <w:ilvl w:val="1"/>
          <w:numId w:val="9"/>
        </w:numPr>
      </w:pPr>
      <w:proofErr w:type="gramStart"/>
      <w:r w:rsidRPr="00E939C3">
        <w:rPr>
          <w:b/>
          <w:bCs/>
        </w:rPr>
        <w:t>r</w:t>
      </w:r>
      <w:r w:rsidR="00B43661" w:rsidRPr="00E939C3">
        <w:rPr>
          <w:b/>
          <w:bCs/>
        </w:rPr>
        <w:t>éflexions</w:t>
      </w:r>
      <w:proofErr w:type="gramEnd"/>
      <w:r w:rsidR="00B43661" w:rsidRPr="00E939C3">
        <w:rPr>
          <w:b/>
          <w:bCs/>
        </w:rPr>
        <w:t xml:space="preserve"> sur la fin de vie</w:t>
      </w:r>
      <w:r w:rsidR="00B43661" w:rsidRPr="00E939C3">
        <w:t xml:space="preserve"> : privilégier les produits qui peuvent être démontés ou recyclés à la fin de leur vie.</w:t>
      </w:r>
    </w:p>
    <w:p w14:paraId="4A6EACDD" w14:textId="77777777" w:rsidR="00745137" w:rsidRPr="00E939C3" w:rsidRDefault="00745137" w:rsidP="00DA2EBB">
      <w:pPr>
        <w:rPr>
          <w:b/>
          <w:bCs/>
        </w:rPr>
      </w:pPr>
    </w:p>
    <w:p w14:paraId="47928001" w14:textId="77777777" w:rsidR="00745137" w:rsidRPr="00E939C3" w:rsidRDefault="00745137" w:rsidP="00DA2EBB">
      <w:pPr>
        <w:rPr>
          <w:b/>
          <w:bCs/>
        </w:rPr>
      </w:pPr>
    </w:p>
    <w:p w14:paraId="3E39081E" w14:textId="15E47B2F" w:rsidR="00DA2EBB" w:rsidRPr="00E939C3" w:rsidRDefault="00B43661" w:rsidP="00DA2EBB">
      <w:r w:rsidRPr="00E939C3">
        <w:rPr>
          <w:b/>
          <w:bCs/>
        </w:rPr>
        <w:t>Obligation</w:t>
      </w:r>
      <w:r w:rsidR="00E90996" w:rsidRPr="00E939C3">
        <w:rPr>
          <w:b/>
          <w:bCs/>
        </w:rPr>
        <w:t>s</w:t>
      </w:r>
      <w:r w:rsidRPr="00E939C3">
        <w:rPr>
          <w:b/>
          <w:bCs/>
        </w:rPr>
        <w:t xml:space="preserve"> légales</w:t>
      </w:r>
    </w:p>
    <w:p w14:paraId="2CF94A54" w14:textId="79568287" w:rsidR="00DA2EBB" w:rsidRPr="00E939C3" w:rsidRDefault="00B43661" w:rsidP="00DA2EBB">
      <w:pPr>
        <w:numPr>
          <w:ilvl w:val="0"/>
          <w:numId w:val="10"/>
        </w:numPr>
      </w:pPr>
      <w:r w:rsidRPr="00E939C3">
        <w:rPr>
          <w:b/>
          <w:bCs/>
        </w:rPr>
        <w:t>Directives européennes</w:t>
      </w:r>
      <w:r w:rsidRPr="00E939C3">
        <w:t xml:space="preserve"> : le projet doit être conforme à la </w:t>
      </w:r>
      <w:r w:rsidRPr="00E939C3">
        <w:rPr>
          <w:b/>
          <w:bCs/>
        </w:rPr>
        <w:t>directive européenne 2014/24/UE</w:t>
      </w:r>
      <w:r w:rsidRPr="00E939C3">
        <w:t xml:space="preserve"> relative à la passation des marchés publics, qui inclut des considérations relatives aux pratiques d’achat durables et encourage l</w:t>
      </w:r>
      <w:r w:rsidR="00C14FA1" w:rsidRPr="00E939C3">
        <w:t>’</w:t>
      </w:r>
      <w:r w:rsidRPr="00E939C3">
        <w:t>intégration de critères environnementaux dans les procédures d'achat.</w:t>
      </w:r>
    </w:p>
    <w:p w14:paraId="72A553C7" w14:textId="59D01E73" w:rsidR="00DA2EBB" w:rsidRPr="00E939C3" w:rsidRDefault="00C14FA1" w:rsidP="005C4CF2">
      <w:pPr>
        <w:numPr>
          <w:ilvl w:val="0"/>
          <w:numId w:val="10"/>
        </w:numPr>
      </w:pPr>
      <w:r w:rsidRPr="00E939C3">
        <w:rPr>
          <w:b/>
          <w:bCs/>
        </w:rPr>
        <w:t>Lois nationales sur l’environnement</w:t>
      </w:r>
      <w:r w:rsidRPr="00E939C3">
        <w:t xml:space="preserve"> : le projet doit respecter les lois nationales relatives à l’efficacité énergétique des bâtiments, en particulier la </w:t>
      </w:r>
      <w:r w:rsidRPr="00E939C3">
        <w:rPr>
          <w:b/>
          <w:bCs/>
        </w:rPr>
        <w:t xml:space="preserve">directive sur la performance énergétique des bâtiments </w:t>
      </w:r>
      <w:r w:rsidRPr="00E939C3">
        <w:t>(EPBD), qui vise à atteindre un parc immobilier hautement efficace sur le plan énergétique et décarboné d’ici 2050. Il doit également respecter les codes de construction locaux en matière de gestion des déchets et de durabilité environnementale.</w:t>
      </w:r>
    </w:p>
    <w:p w14:paraId="4B8BDC46" w14:textId="202CF699" w:rsidR="00DA2EBB" w:rsidRPr="00E939C3" w:rsidRDefault="00C14FA1" w:rsidP="00DA2EBB">
      <w:pPr>
        <w:numPr>
          <w:ilvl w:val="0"/>
          <w:numId w:val="10"/>
        </w:numPr>
      </w:pPr>
      <w:r w:rsidRPr="00E939C3">
        <w:rPr>
          <w:b/>
          <w:bCs/>
        </w:rPr>
        <w:t>Accords internationaux</w:t>
      </w:r>
      <w:r w:rsidRPr="00E939C3">
        <w:t xml:space="preserve"> : le respect des accords internationaux tels que l’accord de Paris est indispensable. Le projet doit réduire son empreinte carbone et contribuer à l’objectif de neutralité carbone de la commune d’ici 2030.</w:t>
      </w:r>
    </w:p>
    <w:p w14:paraId="4F8E4152" w14:textId="77FD16BB" w:rsidR="00DA2EBB" w:rsidRPr="00E939C3" w:rsidRDefault="00C14FA1" w:rsidP="00DA2EBB">
      <w:pPr>
        <w:numPr>
          <w:ilvl w:val="0"/>
          <w:numId w:val="10"/>
        </w:numPr>
      </w:pPr>
      <w:r w:rsidRPr="00E939C3">
        <w:rPr>
          <w:b/>
          <w:bCs/>
        </w:rPr>
        <w:t xml:space="preserve">Objectifs locaux en matière de développement durable </w:t>
      </w:r>
      <w:r w:rsidRPr="00E939C3">
        <w:t>: la ville s'est engagée à atteindre l’objectif « zéro déchet » d’ici 2040, et tous les projets de construction publics doivent respecter cet objectif en tenant compte des principes de réduction des déchets et d’économie circulaire.</w:t>
      </w:r>
    </w:p>
    <w:p w14:paraId="36D5A241" w14:textId="77777777" w:rsidR="00745137" w:rsidRPr="00E939C3" w:rsidRDefault="00745137" w:rsidP="00DA2EBB">
      <w:pPr>
        <w:rPr>
          <w:b/>
          <w:bCs/>
        </w:rPr>
      </w:pPr>
    </w:p>
    <w:p w14:paraId="1F6CC31A" w14:textId="435E0B41" w:rsidR="00DA2EBB" w:rsidRPr="00E939C3" w:rsidRDefault="00C14FA1" w:rsidP="00DA2EBB">
      <w:r w:rsidRPr="00E939C3">
        <w:rPr>
          <w:b/>
          <w:bCs/>
        </w:rPr>
        <w:t>Défis</w:t>
      </w:r>
    </w:p>
    <w:p w14:paraId="2A858DE5" w14:textId="09E29841" w:rsidR="00DA2EBB" w:rsidRPr="00E939C3" w:rsidRDefault="00C14FA1" w:rsidP="00DA2EBB">
      <w:pPr>
        <w:numPr>
          <w:ilvl w:val="0"/>
          <w:numId w:val="11"/>
        </w:numPr>
      </w:pPr>
      <w:r w:rsidRPr="00E939C3">
        <w:rPr>
          <w:b/>
          <w:bCs/>
        </w:rPr>
        <w:t>Incertitude quant aux capacités du marché</w:t>
      </w:r>
      <w:r w:rsidRPr="00E939C3">
        <w:t xml:space="preserve"> : bien que l’intérêt pour les pratiques de construction durables soit en hausse, le marché des matériaux de construction écologiques est encore naissant dans la région. De nombreux fournisseurs peuvent manquer d’expérience ou de capacités pour répondre aux normes élevées de durabilité de la comm</w:t>
      </w:r>
      <w:r w:rsidR="000C0D41" w:rsidRPr="00E939C3">
        <w:t>un</w:t>
      </w:r>
      <w:r w:rsidRPr="00E939C3">
        <w:t>e ce qui rend difficile la recherche de sources d’approvisionnement fiables pour les matériaux nécessaires.</w:t>
      </w:r>
    </w:p>
    <w:p w14:paraId="60A14EAD" w14:textId="54F7AEB5" w:rsidR="00DA2EBB" w:rsidRPr="00E939C3" w:rsidRDefault="00C14FA1" w:rsidP="00DA2EBB">
      <w:pPr>
        <w:numPr>
          <w:ilvl w:val="0"/>
          <w:numId w:val="11"/>
        </w:numPr>
      </w:pPr>
      <w:r w:rsidRPr="00E939C3">
        <w:rPr>
          <w:b/>
          <w:bCs/>
        </w:rPr>
        <w:t>Base de fournisseurs limitée</w:t>
      </w:r>
      <w:r w:rsidRPr="00E939C3">
        <w:t xml:space="preserve"> : le nombre de fournisseurs disponibles pour les matériaux de construction durables est limité, en particulier lorsqu’il s’agit de répondre à des critères de durabilité élevés. Cela peut entraîner un manque de concurrence et des prix potentiellement plus élevés.</w:t>
      </w:r>
    </w:p>
    <w:p w14:paraId="27541D70" w14:textId="4DE850BB" w:rsidR="00DA2EBB" w:rsidRPr="00E939C3" w:rsidRDefault="00CF7616" w:rsidP="00DA2EBB">
      <w:pPr>
        <w:numPr>
          <w:ilvl w:val="0"/>
          <w:numId w:val="11"/>
        </w:numPr>
      </w:pPr>
      <w:r w:rsidRPr="00E939C3">
        <w:rPr>
          <w:b/>
          <w:bCs/>
        </w:rPr>
        <w:t>Difficultés liées à la définition des spécifications techniques</w:t>
      </w:r>
      <w:r w:rsidRPr="00E939C3">
        <w:t xml:space="preserve"> : il manque des spécifications techniques détaillées pour certains matériaux et systèmes innovants, tels que les fenêtres à haute efficacité énergétique et les matériaux isolants non toxiques. La définition de critères clairs et mesurables pour ces produits, tout en garantissant leur conformité avec les objectifs de durabilité et les normes de performance des bâtiments, représente un défi de taille pour l’équipe chargée des achats.</w:t>
      </w:r>
    </w:p>
    <w:p w14:paraId="60FA1C50" w14:textId="646E0041" w:rsidR="00DA2EBB" w:rsidRPr="00E939C3" w:rsidRDefault="00CF7616" w:rsidP="00DA2EBB">
      <w:pPr>
        <w:numPr>
          <w:ilvl w:val="0"/>
          <w:numId w:val="11"/>
        </w:numPr>
      </w:pPr>
      <w:r w:rsidRPr="00E939C3">
        <w:rPr>
          <w:b/>
          <w:bCs/>
        </w:rPr>
        <w:t>Équilibre entre coûts et durabilité</w:t>
      </w:r>
      <w:r w:rsidRPr="00E939C3">
        <w:t xml:space="preserve"> : bien que la commune se soit engagée en faveur de la durabilité, le budget du projet doit néanmoins être géré. L’équipe chargée des achats est soumise à la pression de devoir concilier les coûts des </w:t>
      </w:r>
      <w:r w:rsidRPr="00E939C3">
        <w:lastRenderedPageBreak/>
        <w:t>matériaux durables avec les contraintes budgétaires, d’autant plus que les options plus durables peuvent être nettement plus coûteuses que les alternatives traditionnelles.</w:t>
      </w:r>
    </w:p>
    <w:p w14:paraId="761D25F7" w14:textId="6B0CB426" w:rsidR="00DA2EBB" w:rsidRPr="00E939C3" w:rsidRDefault="00CF7616" w:rsidP="00DA2EBB">
      <w:pPr>
        <w:numPr>
          <w:ilvl w:val="0"/>
          <w:numId w:val="11"/>
        </w:numPr>
      </w:pPr>
      <w:r w:rsidRPr="00E939C3">
        <w:rPr>
          <w:b/>
          <w:bCs/>
        </w:rPr>
        <w:t>Évolution de la réglementation</w:t>
      </w:r>
      <w:r w:rsidRPr="00E939C3">
        <w:t xml:space="preserve"> : la réglementation en matière de développement durable évoluant constamment, tant au niveau national qu’européen, l'équipe chargée des achats doit se tenir informée de ces changements afin de garantir la conformité. L’incertitude quant à la réglementation future pourrait également compliquer l’évaluation de la viabilité à long terme de certaines décisions prises aujourd’hui.</w:t>
      </w:r>
    </w:p>
    <w:p w14:paraId="22F1F35D" w14:textId="0E7BEB85" w:rsidR="00DA2EBB" w:rsidRPr="00E939C3" w:rsidRDefault="003725A8" w:rsidP="009D5F0A">
      <w:r>
        <w:rPr>
          <w:noProof/>
          <w:sz w:val="13"/>
          <w:szCs w:val="13"/>
          <w:lang w:val="de-DE"/>
        </w:rPr>
        <w:drawing>
          <wp:anchor distT="0" distB="0" distL="114300" distR="114300" simplePos="0" relativeHeight="251658240" behindDoc="1" locked="0" layoutInCell="1" allowOverlap="1" wp14:anchorId="430713D3" wp14:editId="4A434BBE">
            <wp:simplePos x="0" y="0"/>
            <wp:positionH relativeFrom="column">
              <wp:posOffset>-188595</wp:posOffset>
            </wp:positionH>
            <wp:positionV relativeFrom="paragraph">
              <wp:posOffset>5940425</wp:posOffset>
            </wp:positionV>
            <wp:extent cx="3949700" cy="1579880"/>
            <wp:effectExtent l="0" t="0" r="0" b="0"/>
            <wp:wrapTight wrapText="bothSides">
              <wp:wrapPolygon edited="0">
                <wp:start x="0" y="0"/>
                <wp:lineTo x="0" y="21357"/>
                <wp:lineTo x="21531" y="21357"/>
                <wp:lineTo x="21531" y="0"/>
                <wp:lineTo x="0" y="0"/>
              </wp:wrapPolygon>
            </wp:wrapTight>
            <wp:docPr id="866837053"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37053" name="Grafik 1" descr="Ein Bild, das Text, Screenshot, Schrift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49700" cy="1579880"/>
                    </a:xfrm>
                    <a:prstGeom prst="rect">
                      <a:avLst/>
                    </a:prstGeom>
                  </pic:spPr>
                </pic:pic>
              </a:graphicData>
            </a:graphic>
            <wp14:sizeRelH relativeFrom="page">
              <wp14:pctWidth>0</wp14:pctWidth>
            </wp14:sizeRelH>
            <wp14:sizeRelV relativeFrom="page">
              <wp14:pctHeight>0</wp14:pctHeight>
            </wp14:sizeRelV>
          </wp:anchor>
        </w:drawing>
      </w:r>
    </w:p>
    <w:sectPr w:rsidR="00DA2EBB" w:rsidRPr="00E939C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1288" w14:textId="77777777" w:rsidR="00D73E91" w:rsidRPr="00F15AE4" w:rsidRDefault="00D73E91" w:rsidP="009D5F0A">
      <w:r w:rsidRPr="00F15AE4">
        <w:separator/>
      </w:r>
    </w:p>
  </w:endnote>
  <w:endnote w:type="continuationSeparator" w:id="0">
    <w:p w14:paraId="44DEA7FE" w14:textId="77777777" w:rsidR="00D73E91" w:rsidRPr="00F15AE4" w:rsidRDefault="00D73E91" w:rsidP="009D5F0A">
      <w:r w:rsidRPr="00F15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2"/>
    <w:family w:val="decorative"/>
    <w:pitch w:val="variable"/>
    <w:sig w:usb0="00000003" w:usb1="10000000" w:usb2="00000000" w:usb3="00000000" w:csb0="80000001" w:csb1="00000000"/>
  </w:font>
  <w:font w:name="Aptos">
    <w:altName w:val="Aptos Serif"/>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Serif">
    <w:panose1 w:val="02020604070405020304"/>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8FC1" w14:textId="5813E66E" w:rsidR="009D5F0A" w:rsidRPr="002941F2" w:rsidRDefault="009D5F0A" w:rsidP="009D5F0A">
    <w:pPr>
      <w:pStyle w:val="Fuzeile"/>
      <w:jc w:val="both"/>
      <w:rPr>
        <w:sz w:val="13"/>
        <w:szCs w:val="13"/>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B56F" w14:textId="77777777" w:rsidR="00D73E91" w:rsidRPr="00F15AE4" w:rsidRDefault="00D73E91" w:rsidP="009D5F0A">
      <w:r w:rsidRPr="00F15AE4">
        <w:separator/>
      </w:r>
    </w:p>
  </w:footnote>
  <w:footnote w:type="continuationSeparator" w:id="0">
    <w:p w14:paraId="6958F4F3" w14:textId="77777777" w:rsidR="00D73E91" w:rsidRPr="00F15AE4" w:rsidRDefault="00D73E91" w:rsidP="009D5F0A">
      <w:r w:rsidRPr="00F15A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B68E" w14:textId="77777777" w:rsidR="009D5F0A" w:rsidRPr="00F15AE4" w:rsidRDefault="009D5F0A">
    <w:pPr>
      <w:pStyle w:val="Kopfzeile"/>
    </w:pPr>
    <w:r w:rsidRPr="00F15AE4">
      <w:rPr>
        <w:noProof/>
      </w:rPr>
      <w:drawing>
        <wp:anchor distT="0" distB="0" distL="114300" distR="114300" simplePos="0" relativeHeight="251658240" behindDoc="1" locked="0" layoutInCell="1" allowOverlap="1" wp14:anchorId="04AAF77D" wp14:editId="21B61102">
          <wp:simplePos x="0" y="0"/>
          <wp:positionH relativeFrom="column">
            <wp:posOffset>5259705</wp:posOffset>
          </wp:positionH>
          <wp:positionV relativeFrom="paragraph">
            <wp:posOffset>-179705</wp:posOffset>
          </wp:positionV>
          <wp:extent cx="1089555" cy="570865"/>
          <wp:effectExtent l="0" t="0" r="3175" b="0"/>
          <wp:wrapTight wrapText="bothSides">
            <wp:wrapPolygon edited="0">
              <wp:start x="7809" y="0"/>
              <wp:lineTo x="6045" y="4325"/>
              <wp:lineTo x="6549" y="8169"/>
              <wp:lineTo x="1008" y="12013"/>
              <wp:lineTo x="504" y="12974"/>
              <wp:lineTo x="504" y="20182"/>
              <wp:lineTo x="2015" y="20182"/>
              <wp:lineTo x="20655" y="17780"/>
              <wp:lineTo x="21411" y="14897"/>
              <wp:lineTo x="20907" y="11533"/>
              <wp:lineTo x="11587" y="8169"/>
              <wp:lineTo x="12343" y="6247"/>
              <wp:lineTo x="11335" y="1922"/>
              <wp:lineTo x="8816" y="0"/>
              <wp:lineTo x="7809" y="0"/>
            </wp:wrapPolygon>
          </wp:wrapTight>
          <wp:docPr id="790707297" name="Grafik 1" descr="Ein Bild, das Grafiken,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07297" name="Grafik 1" descr="Ein Bild, das Grafiken, Screenshot, Grafikdesign,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9555" cy="570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D8A"/>
    <w:multiLevelType w:val="multilevel"/>
    <w:tmpl w:val="80A0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95E10"/>
    <w:multiLevelType w:val="multilevel"/>
    <w:tmpl w:val="D16E02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B7395"/>
    <w:multiLevelType w:val="multilevel"/>
    <w:tmpl w:val="E052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43ECC"/>
    <w:multiLevelType w:val="multilevel"/>
    <w:tmpl w:val="AD426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95887"/>
    <w:multiLevelType w:val="multilevel"/>
    <w:tmpl w:val="DEC8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E4B82"/>
    <w:multiLevelType w:val="multilevel"/>
    <w:tmpl w:val="E8A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B96436"/>
    <w:multiLevelType w:val="multilevel"/>
    <w:tmpl w:val="6D8AA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0183F"/>
    <w:multiLevelType w:val="multilevel"/>
    <w:tmpl w:val="C358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0485C"/>
    <w:multiLevelType w:val="multilevel"/>
    <w:tmpl w:val="87F40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5567A"/>
    <w:multiLevelType w:val="multilevel"/>
    <w:tmpl w:val="9D1A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09231C"/>
    <w:multiLevelType w:val="multilevel"/>
    <w:tmpl w:val="5072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194069"/>
    <w:multiLevelType w:val="multilevel"/>
    <w:tmpl w:val="8078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DF63F4"/>
    <w:multiLevelType w:val="multilevel"/>
    <w:tmpl w:val="B0FC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E07C6"/>
    <w:multiLevelType w:val="multilevel"/>
    <w:tmpl w:val="A91C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287616"/>
    <w:multiLevelType w:val="multilevel"/>
    <w:tmpl w:val="ECBC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B02782"/>
    <w:multiLevelType w:val="multilevel"/>
    <w:tmpl w:val="BCF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253096">
    <w:abstractNumId w:val="1"/>
  </w:num>
  <w:num w:numId="2" w16cid:durableId="1684623360">
    <w:abstractNumId w:val="9"/>
  </w:num>
  <w:num w:numId="3" w16cid:durableId="2063673364">
    <w:abstractNumId w:val="12"/>
  </w:num>
  <w:num w:numId="4" w16cid:durableId="567881058">
    <w:abstractNumId w:val="7"/>
  </w:num>
  <w:num w:numId="5" w16cid:durableId="1702704057">
    <w:abstractNumId w:val="8"/>
  </w:num>
  <w:num w:numId="6" w16cid:durableId="438918136">
    <w:abstractNumId w:val="11"/>
  </w:num>
  <w:num w:numId="7" w16cid:durableId="568616943">
    <w:abstractNumId w:val="0"/>
  </w:num>
  <w:num w:numId="8" w16cid:durableId="1022165178">
    <w:abstractNumId w:val="15"/>
  </w:num>
  <w:num w:numId="9" w16cid:durableId="259804168">
    <w:abstractNumId w:val="3"/>
  </w:num>
  <w:num w:numId="10" w16cid:durableId="2032100254">
    <w:abstractNumId w:val="4"/>
  </w:num>
  <w:num w:numId="11" w16cid:durableId="3408240">
    <w:abstractNumId w:val="13"/>
  </w:num>
  <w:num w:numId="12" w16cid:durableId="144057847">
    <w:abstractNumId w:val="5"/>
  </w:num>
  <w:num w:numId="13" w16cid:durableId="637298589">
    <w:abstractNumId w:val="10"/>
  </w:num>
  <w:num w:numId="14" w16cid:durableId="1029381972">
    <w:abstractNumId w:val="6"/>
  </w:num>
  <w:num w:numId="15" w16cid:durableId="2058703383">
    <w:abstractNumId w:val="2"/>
  </w:num>
  <w:num w:numId="16" w16cid:durableId="1365522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8D"/>
    <w:rsid w:val="00016F98"/>
    <w:rsid w:val="00062EC4"/>
    <w:rsid w:val="000C0D41"/>
    <w:rsid w:val="000E7249"/>
    <w:rsid w:val="0011793C"/>
    <w:rsid w:val="0012036A"/>
    <w:rsid w:val="00123B8E"/>
    <w:rsid w:val="001A4FB0"/>
    <w:rsid w:val="001B1AFA"/>
    <w:rsid w:val="001B5372"/>
    <w:rsid w:val="0021078D"/>
    <w:rsid w:val="0021360A"/>
    <w:rsid w:val="00223AA8"/>
    <w:rsid w:val="0022514B"/>
    <w:rsid w:val="002313A7"/>
    <w:rsid w:val="002941F2"/>
    <w:rsid w:val="00295429"/>
    <w:rsid w:val="002B7392"/>
    <w:rsid w:val="002C1A65"/>
    <w:rsid w:val="003138B1"/>
    <w:rsid w:val="00353C12"/>
    <w:rsid w:val="003609B2"/>
    <w:rsid w:val="003725A8"/>
    <w:rsid w:val="003B29C8"/>
    <w:rsid w:val="00411D28"/>
    <w:rsid w:val="00450DC5"/>
    <w:rsid w:val="00467898"/>
    <w:rsid w:val="005474CD"/>
    <w:rsid w:val="00562418"/>
    <w:rsid w:val="00616F90"/>
    <w:rsid w:val="00654F2B"/>
    <w:rsid w:val="006C4376"/>
    <w:rsid w:val="00745137"/>
    <w:rsid w:val="007711CC"/>
    <w:rsid w:val="007C4E6A"/>
    <w:rsid w:val="007C7576"/>
    <w:rsid w:val="00825AC4"/>
    <w:rsid w:val="008332F1"/>
    <w:rsid w:val="00842E94"/>
    <w:rsid w:val="008508FA"/>
    <w:rsid w:val="00875187"/>
    <w:rsid w:val="008D0605"/>
    <w:rsid w:val="00914BCF"/>
    <w:rsid w:val="009D5F0A"/>
    <w:rsid w:val="009F557F"/>
    <w:rsid w:val="00A30408"/>
    <w:rsid w:val="00A4498B"/>
    <w:rsid w:val="00A8529E"/>
    <w:rsid w:val="00A92F57"/>
    <w:rsid w:val="00AB02FD"/>
    <w:rsid w:val="00AB5BBE"/>
    <w:rsid w:val="00AF27FA"/>
    <w:rsid w:val="00B04657"/>
    <w:rsid w:val="00B422C3"/>
    <w:rsid w:val="00B43661"/>
    <w:rsid w:val="00B43D7E"/>
    <w:rsid w:val="00BA2E89"/>
    <w:rsid w:val="00BC30A5"/>
    <w:rsid w:val="00C14FA1"/>
    <w:rsid w:val="00C31D11"/>
    <w:rsid w:val="00C73FC7"/>
    <w:rsid w:val="00CB3455"/>
    <w:rsid w:val="00CF7616"/>
    <w:rsid w:val="00D03582"/>
    <w:rsid w:val="00D06692"/>
    <w:rsid w:val="00D55EC8"/>
    <w:rsid w:val="00D73E91"/>
    <w:rsid w:val="00DA2EBB"/>
    <w:rsid w:val="00DB6810"/>
    <w:rsid w:val="00DD5367"/>
    <w:rsid w:val="00E004D0"/>
    <w:rsid w:val="00E70B19"/>
    <w:rsid w:val="00E90996"/>
    <w:rsid w:val="00E939C3"/>
    <w:rsid w:val="00EA7BDD"/>
    <w:rsid w:val="00F15AE4"/>
    <w:rsid w:val="00F36F00"/>
    <w:rsid w:val="00F80DC3"/>
    <w:rsid w:val="00F864FB"/>
    <w:rsid w:val="00FD7264"/>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95369"/>
  <w15:chartTrackingRefBased/>
  <w15:docId w15:val="{1FBFB973-1EBA-411D-8F90-BAE993BB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fr-FR"/>
    </w:rPr>
  </w:style>
  <w:style w:type="paragraph" w:styleId="berschrift1">
    <w:name w:val="heading 1"/>
    <w:basedOn w:val="Standard"/>
    <w:next w:val="Standard"/>
    <w:link w:val="berschrift1Zchn"/>
    <w:uiPriority w:val="9"/>
    <w:qFormat/>
    <w:rsid w:val="009D5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D5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D5F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F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F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F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F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F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F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F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D5F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D5F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F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F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F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F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F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F0A"/>
    <w:rPr>
      <w:rFonts w:eastAsiaTheme="majorEastAsia" w:cstheme="majorBidi"/>
      <w:color w:val="272727" w:themeColor="text1" w:themeTint="D8"/>
    </w:rPr>
  </w:style>
  <w:style w:type="paragraph" w:styleId="Titel">
    <w:name w:val="Title"/>
    <w:basedOn w:val="Standard"/>
    <w:next w:val="Standard"/>
    <w:link w:val="TitelZchn"/>
    <w:uiPriority w:val="10"/>
    <w:qFormat/>
    <w:rsid w:val="009D5F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F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F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F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F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D5F0A"/>
    <w:rPr>
      <w:i/>
      <w:iCs/>
      <w:color w:val="404040" w:themeColor="text1" w:themeTint="BF"/>
    </w:rPr>
  </w:style>
  <w:style w:type="paragraph" w:styleId="Listenabsatz">
    <w:name w:val="List Paragraph"/>
    <w:basedOn w:val="Standard"/>
    <w:uiPriority w:val="34"/>
    <w:qFormat/>
    <w:rsid w:val="009D5F0A"/>
    <w:pPr>
      <w:ind w:left="720"/>
      <w:contextualSpacing/>
    </w:pPr>
  </w:style>
  <w:style w:type="character" w:styleId="IntensiveHervorhebung">
    <w:name w:val="Intense Emphasis"/>
    <w:basedOn w:val="Absatz-Standardschriftart"/>
    <w:uiPriority w:val="21"/>
    <w:qFormat/>
    <w:rsid w:val="009D5F0A"/>
    <w:rPr>
      <w:i/>
      <w:iCs/>
      <w:color w:val="0F4761" w:themeColor="accent1" w:themeShade="BF"/>
    </w:rPr>
  </w:style>
  <w:style w:type="paragraph" w:styleId="IntensivesZitat">
    <w:name w:val="Intense Quote"/>
    <w:basedOn w:val="Standard"/>
    <w:next w:val="Standard"/>
    <w:link w:val="IntensivesZitatZchn"/>
    <w:uiPriority w:val="30"/>
    <w:qFormat/>
    <w:rsid w:val="009D5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F0A"/>
    <w:rPr>
      <w:i/>
      <w:iCs/>
      <w:color w:val="0F4761" w:themeColor="accent1" w:themeShade="BF"/>
    </w:rPr>
  </w:style>
  <w:style w:type="character" w:styleId="IntensiverVerweis">
    <w:name w:val="Intense Reference"/>
    <w:basedOn w:val="Absatz-Standardschriftart"/>
    <w:uiPriority w:val="32"/>
    <w:qFormat/>
    <w:rsid w:val="009D5F0A"/>
    <w:rPr>
      <w:b/>
      <w:bCs/>
      <w:smallCaps/>
      <w:color w:val="0F4761" w:themeColor="accent1" w:themeShade="BF"/>
      <w:spacing w:val="5"/>
    </w:rPr>
  </w:style>
  <w:style w:type="paragraph" w:styleId="Kopfzeile">
    <w:name w:val="header"/>
    <w:basedOn w:val="Standard"/>
    <w:link w:val="KopfzeileZchn"/>
    <w:uiPriority w:val="99"/>
    <w:unhideWhenUsed/>
    <w:rsid w:val="009D5F0A"/>
    <w:pPr>
      <w:tabs>
        <w:tab w:val="center" w:pos="4536"/>
        <w:tab w:val="right" w:pos="9072"/>
      </w:tabs>
    </w:pPr>
  </w:style>
  <w:style w:type="character" w:customStyle="1" w:styleId="KopfzeileZchn">
    <w:name w:val="Kopfzeile Zchn"/>
    <w:basedOn w:val="Absatz-Standardschriftart"/>
    <w:link w:val="Kopfzeile"/>
    <w:uiPriority w:val="99"/>
    <w:rsid w:val="009D5F0A"/>
  </w:style>
  <w:style w:type="paragraph" w:styleId="Fuzeile">
    <w:name w:val="footer"/>
    <w:basedOn w:val="Standard"/>
    <w:link w:val="FuzeileZchn"/>
    <w:uiPriority w:val="99"/>
    <w:unhideWhenUsed/>
    <w:rsid w:val="009D5F0A"/>
    <w:pPr>
      <w:tabs>
        <w:tab w:val="center" w:pos="4536"/>
        <w:tab w:val="right" w:pos="9072"/>
      </w:tabs>
    </w:pPr>
  </w:style>
  <w:style w:type="character" w:customStyle="1" w:styleId="FuzeileZchn">
    <w:name w:val="Fußzeile Zchn"/>
    <w:basedOn w:val="Absatz-Standardschriftart"/>
    <w:link w:val="Fuzeile"/>
    <w:uiPriority w:val="99"/>
    <w:rsid w:val="009D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1060">
      <w:bodyDiv w:val="1"/>
      <w:marLeft w:val="0"/>
      <w:marRight w:val="0"/>
      <w:marTop w:val="0"/>
      <w:marBottom w:val="0"/>
      <w:divBdr>
        <w:top w:val="none" w:sz="0" w:space="0" w:color="auto"/>
        <w:left w:val="none" w:sz="0" w:space="0" w:color="auto"/>
        <w:bottom w:val="none" w:sz="0" w:space="0" w:color="auto"/>
        <w:right w:val="none" w:sz="0" w:space="0" w:color="auto"/>
      </w:divBdr>
    </w:div>
    <w:div w:id="176583569">
      <w:bodyDiv w:val="1"/>
      <w:marLeft w:val="0"/>
      <w:marRight w:val="0"/>
      <w:marTop w:val="0"/>
      <w:marBottom w:val="0"/>
      <w:divBdr>
        <w:top w:val="none" w:sz="0" w:space="0" w:color="auto"/>
        <w:left w:val="none" w:sz="0" w:space="0" w:color="auto"/>
        <w:bottom w:val="none" w:sz="0" w:space="0" w:color="auto"/>
        <w:right w:val="none" w:sz="0" w:space="0" w:color="auto"/>
      </w:divBdr>
    </w:div>
    <w:div w:id="191964210">
      <w:bodyDiv w:val="1"/>
      <w:marLeft w:val="0"/>
      <w:marRight w:val="0"/>
      <w:marTop w:val="0"/>
      <w:marBottom w:val="0"/>
      <w:divBdr>
        <w:top w:val="none" w:sz="0" w:space="0" w:color="auto"/>
        <w:left w:val="none" w:sz="0" w:space="0" w:color="auto"/>
        <w:bottom w:val="none" w:sz="0" w:space="0" w:color="auto"/>
        <w:right w:val="none" w:sz="0" w:space="0" w:color="auto"/>
      </w:divBdr>
    </w:div>
    <w:div w:id="343676411">
      <w:bodyDiv w:val="1"/>
      <w:marLeft w:val="0"/>
      <w:marRight w:val="0"/>
      <w:marTop w:val="0"/>
      <w:marBottom w:val="0"/>
      <w:divBdr>
        <w:top w:val="none" w:sz="0" w:space="0" w:color="auto"/>
        <w:left w:val="none" w:sz="0" w:space="0" w:color="auto"/>
        <w:bottom w:val="none" w:sz="0" w:space="0" w:color="auto"/>
        <w:right w:val="none" w:sz="0" w:space="0" w:color="auto"/>
      </w:divBdr>
    </w:div>
    <w:div w:id="421921606">
      <w:bodyDiv w:val="1"/>
      <w:marLeft w:val="0"/>
      <w:marRight w:val="0"/>
      <w:marTop w:val="0"/>
      <w:marBottom w:val="0"/>
      <w:divBdr>
        <w:top w:val="none" w:sz="0" w:space="0" w:color="auto"/>
        <w:left w:val="none" w:sz="0" w:space="0" w:color="auto"/>
        <w:bottom w:val="none" w:sz="0" w:space="0" w:color="auto"/>
        <w:right w:val="none" w:sz="0" w:space="0" w:color="auto"/>
      </w:divBdr>
    </w:div>
    <w:div w:id="498930657">
      <w:bodyDiv w:val="1"/>
      <w:marLeft w:val="0"/>
      <w:marRight w:val="0"/>
      <w:marTop w:val="0"/>
      <w:marBottom w:val="0"/>
      <w:divBdr>
        <w:top w:val="none" w:sz="0" w:space="0" w:color="auto"/>
        <w:left w:val="none" w:sz="0" w:space="0" w:color="auto"/>
        <w:bottom w:val="none" w:sz="0" w:space="0" w:color="auto"/>
        <w:right w:val="none" w:sz="0" w:space="0" w:color="auto"/>
      </w:divBdr>
    </w:div>
    <w:div w:id="544414083">
      <w:bodyDiv w:val="1"/>
      <w:marLeft w:val="0"/>
      <w:marRight w:val="0"/>
      <w:marTop w:val="0"/>
      <w:marBottom w:val="0"/>
      <w:divBdr>
        <w:top w:val="none" w:sz="0" w:space="0" w:color="auto"/>
        <w:left w:val="none" w:sz="0" w:space="0" w:color="auto"/>
        <w:bottom w:val="none" w:sz="0" w:space="0" w:color="auto"/>
        <w:right w:val="none" w:sz="0" w:space="0" w:color="auto"/>
      </w:divBdr>
    </w:div>
    <w:div w:id="578055716">
      <w:bodyDiv w:val="1"/>
      <w:marLeft w:val="0"/>
      <w:marRight w:val="0"/>
      <w:marTop w:val="0"/>
      <w:marBottom w:val="0"/>
      <w:divBdr>
        <w:top w:val="none" w:sz="0" w:space="0" w:color="auto"/>
        <w:left w:val="none" w:sz="0" w:space="0" w:color="auto"/>
        <w:bottom w:val="none" w:sz="0" w:space="0" w:color="auto"/>
        <w:right w:val="none" w:sz="0" w:space="0" w:color="auto"/>
      </w:divBdr>
    </w:div>
    <w:div w:id="848761443">
      <w:bodyDiv w:val="1"/>
      <w:marLeft w:val="0"/>
      <w:marRight w:val="0"/>
      <w:marTop w:val="0"/>
      <w:marBottom w:val="0"/>
      <w:divBdr>
        <w:top w:val="none" w:sz="0" w:space="0" w:color="auto"/>
        <w:left w:val="none" w:sz="0" w:space="0" w:color="auto"/>
        <w:bottom w:val="none" w:sz="0" w:space="0" w:color="auto"/>
        <w:right w:val="none" w:sz="0" w:space="0" w:color="auto"/>
      </w:divBdr>
    </w:div>
    <w:div w:id="1010137084">
      <w:bodyDiv w:val="1"/>
      <w:marLeft w:val="0"/>
      <w:marRight w:val="0"/>
      <w:marTop w:val="0"/>
      <w:marBottom w:val="0"/>
      <w:divBdr>
        <w:top w:val="none" w:sz="0" w:space="0" w:color="auto"/>
        <w:left w:val="none" w:sz="0" w:space="0" w:color="auto"/>
        <w:bottom w:val="none" w:sz="0" w:space="0" w:color="auto"/>
        <w:right w:val="none" w:sz="0" w:space="0" w:color="auto"/>
      </w:divBdr>
    </w:div>
    <w:div w:id="1054281538">
      <w:bodyDiv w:val="1"/>
      <w:marLeft w:val="0"/>
      <w:marRight w:val="0"/>
      <w:marTop w:val="0"/>
      <w:marBottom w:val="0"/>
      <w:divBdr>
        <w:top w:val="none" w:sz="0" w:space="0" w:color="auto"/>
        <w:left w:val="none" w:sz="0" w:space="0" w:color="auto"/>
        <w:bottom w:val="none" w:sz="0" w:space="0" w:color="auto"/>
        <w:right w:val="none" w:sz="0" w:space="0" w:color="auto"/>
      </w:divBdr>
    </w:div>
    <w:div w:id="1333600703">
      <w:bodyDiv w:val="1"/>
      <w:marLeft w:val="0"/>
      <w:marRight w:val="0"/>
      <w:marTop w:val="0"/>
      <w:marBottom w:val="0"/>
      <w:divBdr>
        <w:top w:val="none" w:sz="0" w:space="0" w:color="auto"/>
        <w:left w:val="none" w:sz="0" w:space="0" w:color="auto"/>
        <w:bottom w:val="none" w:sz="0" w:space="0" w:color="auto"/>
        <w:right w:val="none" w:sz="0" w:space="0" w:color="auto"/>
      </w:divBdr>
    </w:div>
    <w:div w:id="1535531699">
      <w:bodyDiv w:val="1"/>
      <w:marLeft w:val="0"/>
      <w:marRight w:val="0"/>
      <w:marTop w:val="0"/>
      <w:marBottom w:val="0"/>
      <w:divBdr>
        <w:top w:val="none" w:sz="0" w:space="0" w:color="auto"/>
        <w:left w:val="none" w:sz="0" w:space="0" w:color="auto"/>
        <w:bottom w:val="none" w:sz="0" w:space="0" w:color="auto"/>
        <w:right w:val="none" w:sz="0" w:space="0" w:color="auto"/>
      </w:divBdr>
    </w:div>
    <w:div w:id="1558972531">
      <w:bodyDiv w:val="1"/>
      <w:marLeft w:val="0"/>
      <w:marRight w:val="0"/>
      <w:marTop w:val="0"/>
      <w:marBottom w:val="0"/>
      <w:divBdr>
        <w:top w:val="none" w:sz="0" w:space="0" w:color="auto"/>
        <w:left w:val="none" w:sz="0" w:space="0" w:color="auto"/>
        <w:bottom w:val="none" w:sz="0" w:space="0" w:color="auto"/>
        <w:right w:val="none" w:sz="0" w:space="0" w:color="auto"/>
      </w:divBdr>
    </w:div>
    <w:div w:id="1562518056">
      <w:bodyDiv w:val="1"/>
      <w:marLeft w:val="0"/>
      <w:marRight w:val="0"/>
      <w:marTop w:val="0"/>
      <w:marBottom w:val="0"/>
      <w:divBdr>
        <w:top w:val="none" w:sz="0" w:space="0" w:color="auto"/>
        <w:left w:val="none" w:sz="0" w:space="0" w:color="auto"/>
        <w:bottom w:val="none" w:sz="0" w:space="0" w:color="auto"/>
        <w:right w:val="none" w:sz="0" w:space="0" w:color="auto"/>
      </w:divBdr>
    </w:div>
    <w:div w:id="21302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3123</Words>
  <Characters>22114</Characters>
  <Application>Microsoft Office Word</Application>
  <DocSecurity>0</DocSecurity>
  <Lines>417</Lines>
  <Paragraphs>132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Führ</dc:creator>
  <cp:keywords>, docId:3307B5D0C6AB209890AD1AB312374776</cp:keywords>
  <dc:description/>
  <cp:lastModifiedBy>Maya Knevels</cp:lastModifiedBy>
  <cp:revision>2</cp:revision>
  <dcterms:created xsi:type="dcterms:W3CDTF">2026-04-30T09:27:00Z</dcterms:created>
  <dcterms:modified xsi:type="dcterms:W3CDTF">2026-04-30T09:27:00Z</dcterms:modified>
</cp:coreProperties>
</file>