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F5C3" w14:textId="77777777" w:rsidR="00CF4A70" w:rsidRPr="00CF4A70" w:rsidRDefault="00CF4A70" w:rsidP="00801422">
      <w:pPr>
        <w:rPr>
          <w:rFonts w:ascii="Aptos Serif" w:hAnsi="Aptos Serif" w:cs="Aptos Serif"/>
          <w:color w:val="0F4761"/>
          <w:sz w:val="40"/>
          <w:szCs w:val="40"/>
        </w:rPr>
      </w:pPr>
      <w:r w:rsidRPr="00CF4A70">
        <w:rPr>
          <w:rFonts w:ascii="Aptos Serif" w:hAnsi="Aptos Serif" w:cs="Aptos Serif"/>
          <w:color w:val="0F4761"/>
          <w:sz w:val="40"/>
          <w:szCs w:val="40"/>
        </w:rPr>
        <w:t xml:space="preserve">Formation des </w:t>
      </w:r>
      <w:proofErr w:type="gramStart"/>
      <w:r w:rsidRPr="00CF4A70">
        <w:rPr>
          <w:rFonts w:ascii="Aptos Serif" w:hAnsi="Aptos Serif" w:cs="Aptos Serif"/>
          <w:color w:val="0F4761"/>
          <w:sz w:val="40"/>
          <w:szCs w:val="40"/>
        </w:rPr>
        <w:t>formateurs :</w:t>
      </w:r>
      <w:proofErr w:type="gramEnd"/>
      <w:r w:rsidRPr="00CF4A70">
        <w:rPr>
          <w:rFonts w:ascii="Aptos Serif" w:hAnsi="Aptos Serif" w:cs="Aptos Serif"/>
          <w:color w:val="0F4761"/>
          <w:sz w:val="40"/>
          <w:szCs w:val="40"/>
        </w:rPr>
        <w:t xml:space="preserve"> Introduction et aperçu général </w:t>
      </w:r>
    </w:p>
    <w:p w14:paraId="61D196A7" w14:textId="77777777" w:rsidR="00CF4A70" w:rsidRDefault="00CF4A70" w:rsidP="00CF4A70">
      <w:pPr>
        <w:pStyle w:val="StandardWeb"/>
        <w:spacing w:before="0" w:beforeAutospacing="0" w:after="160" w:afterAutospacing="0"/>
      </w:pPr>
      <w:r>
        <w:rPr>
          <w:rFonts w:ascii="Aptos" w:hAnsi="Aptos"/>
          <w:color w:val="000000"/>
          <w:sz w:val="22"/>
          <w:szCs w:val="22"/>
        </w:rPr>
        <w:t>Bienvenue à ce programme de formation des formateurs de trois jours sur les achats durables — un cours pratique et axé sur la mise en œuvre, conçu pour permettre aux formateurs de devenir des relais de connaissances sûrs d'eux au sein de leur municipalité et au-delà.</w:t>
      </w:r>
    </w:p>
    <w:p w14:paraId="408D8206" w14:textId="77777777" w:rsidR="00CF4A70" w:rsidRDefault="00CF4A70" w:rsidP="00CF4A70">
      <w:pPr>
        <w:pStyle w:val="StandardWeb"/>
        <w:spacing w:before="0" w:beforeAutospacing="0" w:after="160" w:afterAutospacing="0"/>
      </w:pPr>
      <w:r>
        <w:rPr>
          <w:rFonts w:ascii="Aptos" w:hAnsi="Aptos"/>
          <w:color w:val="000000"/>
          <w:sz w:val="22"/>
          <w:szCs w:val="22"/>
        </w:rPr>
        <w:t>Les marchés publics durables ne sont plus un concept de niche. Ancrés dans des cadres internationaux tels que les Objectifs de développement durable (ODD) des Nations unies et le cadre politique de l'Union européenne, ils constituent une approche stratégique visant à utiliser le pouvoir d'achat public pour créer de la valeur environnementale, sociale et économique. Pour les petites municipalités en particulier, les marchés publics constituent l'un des leviers les plus puissants disponibles pour stimuler le développement économique local, renforcer la résilience, réduire les risques et contribuer aux ODD.</w:t>
      </w:r>
    </w:p>
    <w:p w14:paraId="0FC1F59A" w14:textId="77777777" w:rsidR="00CF4A70" w:rsidRDefault="00CF4A70" w:rsidP="00CF4A70">
      <w:pPr>
        <w:pStyle w:val="StandardWeb"/>
        <w:spacing w:before="0" w:beforeAutospacing="0" w:after="160" w:afterAutospacing="0"/>
      </w:pPr>
      <w:r>
        <w:rPr>
          <w:rFonts w:ascii="Aptos" w:hAnsi="Aptos"/>
          <w:color w:val="000000"/>
          <w:sz w:val="22"/>
          <w:szCs w:val="22"/>
        </w:rPr>
        <w:t xml:space="preserve">Ce cours est conçu avec un double </w:t>
      </w:r>
      <w:proofErr w:type="gramStart"/>
      <w:r>
        <w:rPr>
          <w:rFonts w:ascii="Aptos" w:hAnsi="Aptos"/>
          <w:color w:val="000000"/>
          <w:sz w:val="22"/>
          <w:szCs w:val="22"/>
        </w:rPr>
        <w:t>objectif :</w:t>
      </w:r>
      <w:proofErr w:type="gramEnd"/>
    </w:p>
    <w:p w14:paraId="1EF7CB1F" w14:textId="77777777" w:rsidR="00CF4A70" w:rsidRDefault="00CF4A70" w:rsidP="00CF4A70">
      <w:pPr>
        <w:pStyle w:val="StandardWeb"/>
        <w:numPr>
          <w:ilvl w:val="0"/>
          <w:numId w:val="28"/>
        </w:numPr>
        <w:spacing w:before="0" w:beforeAutospacing="0" w:after="160" w:afterAutospacing="0"/>
        <w:textAlignment w:val="baseline"/>
        <w:rPr>
          <w:rFonts w:ascii="Aptos" w:hAnsi="Aptos"/>
          <w:color w:val="000000"/>
          <w:sz w:val="22"/>
          <w:szCs w:val="22"/>
        </w:rPr>
      </w:pPr>
      <w:r>
        <w:rPr>
          <w:rFonts w:ascii="Aptos" w:hAnsi="Aptos"/>
          <w:color w:val="000000"/>
          <w:sz w:val="22"/>
          <w:szCs w:val="22"/>
        </w:rPr>
        <w:t>Approfondir la compréhension des participants en matière d'achats durables, tant sur le plan théorique que pratique.</w:t>
      </w:r>
    </w:p>
    <w:p w14:paraId="23382441" w14:textId="77777777" w:rsidR="00CF4A70" w:rsidRDefault="00CF4A70" w:rsidP="00CF4A70">
      <w:pPr>
        <w:pStyle w:val="StandardWeb"/>
        <w:numPr>
          <w:ilvl w:val="0"/>
          <w:numId w:val="28"/>
        </w:numPr>
        <w:spacing w:before="0" w:beforeAutospacing="0" w:after="160" w:afterAutospacing="0"/>
        <w:textAlignment w:val="baseline"/>
        <w:rPr>
          <w:rFonts w:ascii="Aptos" w:hAnsi="Aptos"/>
          <w:color w:val="000000"/>
          <w:sz w:val="22"/>
          <w:szCs w:val="22"/>
        </w:rPr>
      </w:pPr>
      <w:r>
        <w:rPr>
          <w:rFonts w:ascii="Aptos" w:hAnsi="Aptos"/>
          <w:color w:val="000000"/>
          <w:sz w:val="22"/>
          <w:szCs w:val="22"/>
        </w:rPr>
        <w:t>De leur fournir les compétences, les outils et la confiance nécessaires pour former efficacement d'autres personnes dans leur contexte local.</w:t>
      </w:r>
    </w:p>
    <w:p w14:paraId="3D396F14" w14:textId="77777777" w:rsidR="00CF4A70" w:rsidRDefault="00CF4A70" w:rsidP="00177C85">
      <w:pPr>
        <w:pStyle w:val="berschrift2"/>
        <w:rPr>
          <w:lang w:val="de-DE"/>
        </w:rPr>
      </w:pPr>
    </w:p>
    <w:p w14:paraId="600BC964" w14:textId="77777777" w:rsidR="00CF4A70" w:rsidRDefault="00CF4A70" w:rsidP="00CF4A70">
      <w:pPr>
        <w:pStyle w:val="StandardWeb"/>
        <w:spacing w:before="0" w:beforeAutospacing="0" w:after="160" w:afterAutospacing="0"/>
      </w:pPr>
      <w:r>
        <w:rPr>
          <w:rFonts w:ascii="Aptos" w:hAnsi="Aptos"/>
          <w:b/>
          <w:bCs/>
          <w:color w:val="000000"/>
          <w:sz w:val="22"/>
          <w:szCs w:val="22"/>
        </w:rPr>
        <w:t>Structure du cours</w:t>
      </w:r>
    </w:p>
    <w:p w14:paraId="3F39E535" w14:textId="77777777" w:rsidR="00CF4A70" w:rsidRDefault="00CF4A70" w:rsidP="00CF4A70">
      <w:pPr>
        <w:pStyle w:val="StandardWeb"/>
        <w:spacing w:before="0" w:beforeAutospacing="0" w:after="160" w:afterAutospacing="0"/>
      </w:pPr>
      <w:r>
        <w:rPr>
          <w:rFonts w:ascii="Aptos" w:hAnsi="Aptos"/>
          <w:color w:val="000000"/>
          <w:sz w:val="22"/>
          <w:szCs w:val="22"/>
        </w:rPr>
        <w:t>Au cours de trois journées intensives et interactives, les participants passeront des connaissances fondamentales à la mise en œuvre pratique, pour finalement maîtriser l'art de dispenser leur propre formation.</w:t>
      </w:r>
    </w:p>
    <w:p w14:paraId="2B1B00F7" w14:textId="77777777" w:rsidR="00CF4A70" w:rsidRDefault="00CF4A70" w:rsidP="00CF4A70">
      <w:pPr>
        <w:pStyle w:val="StandardWeb"/>
        <w:spacing w:before="0" w:beforeAutospacing="0" w:after="160" w:afterAutospacing="0"/>
      </w:pPr>
      <w:r>
        <w:rPr>
          <w:rFonts w:ascii="Aptos" w:hAnsi="Aptos"/>
          <w:b/>
          <w:bCs/>
          <w:color w:val="000000"/>
          <w:sz w:val="22"/>
          <w:szCs w:val="22"/>
        </w:rPr>
        <w:t>Jour 1 – Connaissances</w:t>
      </w:r>
      <w:r>
        <w:rPr>
          <w:rFonts w:ascii="Aptos" w:hAnsi="Aptos"/>
          <w:color w:val="000000"/>
          <w:sz w:val="22"/>
          <w:szCs w:val="22"/>
        </w:rPr>
        <w:br/>
        <w:t xml:space="preserve">Nous commencerons par établir une compréhension commune des marchés publics </w:t>
      </w:r>
      <w:proofErr w:type="gramStart"/>
      <w:r>
        <w:rPr>
          <w:rFonts w:ascii="Aptos" w:hAnsi="Aptos"/>
          <w:color w:val="000000"/>
          <w:sz w:val="22"/>
          <w:szCs w:val="22"/>
        </w:rPr>
        <w:t>durables :</w:t>
      </w:r>
      <w:proofErr w:type="gramEnd"/>
      <w:r>
        <w:rPr>
          <w:rFonts w:ascii="Aptos" w:hAnsi="Aptos"/>
          <w:color w:val="000000"/>
          <w:sz w:val="22"/>
          <w:szCs w:val="22"/>
        </w:rPr>
        <w:t xml:space="preserve"> leurs définitions, leurs dimensions et leur contexte politique. Nous explorerons pourquoi ils revêtent une importance particulière pour les petites municipalités — en tant que moteur des initiatives d’économie circulaire, du développement des marchés locaux, de la conformité et de la réduction des risques. À travers des jeux de rôle, des exercices d’argumentation et des discussions sur des cas juridiques, les participants apprendront comment intégrer les aspects de durabilité dans les processus de passation de marchés en toute sécurité juridique. Cette journée présente également les compétences </w:t>
      </w:r>
      <w:proofErr w:type="gramStart"/>
      <w:r>
        <w:rPr>
          <w:rFonts w:ascii="Aptos" w:hAnsi="Aptos"/>
          <w:color w:val="000000"/>
          <w:sz w:val="22"/>
          <w:szCs w:val="22"/>
        </w:rPr>
        <w:t>essentielles</w:t>
      </w:r>
      <w:proofErr w:type="gramEnd"/>
      <w:r>
        <w:rPr>
          <w:rFonts w:ascii="Aptos" w:hAnsi="Aptos"/>
          <w:color w:val="000000"/>
          <w:sz w:val="22"/>
          <w:szCs w:val="22"/>
        </w:rPr>
        <w:t xml:space="preserve"> du formateur, notamment les principes de la formation des adultes, les techniques d’animation et les stratégies pour relever les défis courants de la formation.</w:t>
      </w:r>
    </w:p>
    <w:p w14:paraId="4600CDFC" w14:textId="77777777" w:rsidR="00CF4A70" w:rsidRDefault="00CF4A70" w:rsidP="00CF4A70">
      <w:pPr>
        <w:pStyle w:val="StandardWeb"/>
        <w:spacing w:before="0" w:beforeAutospacing="0" w:after="160" w:afterAutospacing="0"/>
      </w:pPr>
      <w:r>
        <w:rPr>
          <w:rFonts w:ascii="Aptos" w:hAnsi="Aptos"/>
          <w:b/>
          <w:bCs/>
          <w:color w:val="000000"/>
          <w:sz w:val="22"/>
          <w:szCs w:val="22"/>
        </w:rPr>
        <w:t>Jour 2 – Analyse</w:t>
      </w:r>
      <w:r>
        <w:rPr>
          <w:rFonts w:ascii="Aptos" w:hAnsi="Aptos"/>
          <w:color w:val="000000"/>
          <w:sz w:val="22"/>
          <w:szCs w:val="22"/>
        </w:rPr>
        <w:br/>
        <w:t xml:space="preserve">L'accent est mis sur la mise en pratique. Les participants apprendront à planifier des achats durables à l'aide d'outils tels que l'analyse des dépenses, les stratégies d'engagement sur le marché, l'élaboration de critères de durabilité et l'analyse des coûts du cycle de vie. À travers des ateliers pratiques en groupe, ils analyseront les processus d'achat, réviseront des documents d'appel d'offres et travailleront avec des clauses types et des </w:t>
      </w:r>
      <w:r>
        <w:rPr>
          <w:rFonts w:ascii="Aptos" w:hAnsi="Aptos"/>
          <w:color w:val="000000"/>
          <w:sz w:val="22"/>
          <w:szCs w:val="22"/>
        </w:rPr>
        <w:lastRenderedPageBreak/>
        <w:t>questionnaires destinés aux fournisseurs. Des études de cas concrets provenant de municipalités similaires mettront en évidence à la fois les facteurs de réussite et les pièges courants.</w:t>
      </w:r>
    </w:p>
    <w:p w14:paraId="27EB169D" w14:textId="77777777" w:rsidR="00CF4A70" w:rsidRDefault="00CF4A70" w:rsidP="00CF4A70">
      <w:pPr>
        <w:pStyle w:val="StandardWeb"/>
        <w:spacing w:before="0" w:beforeAutospacing="0" w:after="160" w:afterAutospacing="0"/>
      </w:pPr>
      <w:r>
        <w:rPr>
          <w:rFonts w:ascii="Aptos" w:hAnsi="Aptos"/>
          <w:b/>
          <w:bCs/>
          <w:color w:val="000000"/>
          <w:sz w:val="22"/>
          <w:szCs w:val="22"/>
        </w:rPr>
        <w:t>Jour 3 – Pratique</w:t>
      </w:r>
      <w:r>
        <w:rPr>
          <w:rFonts w:ascii="Aptos" w:hAnsi="Aptos"/>
          <w:color w:val="000000"/>
          <w:sz w:val="22"/>
          <w:szCs w:val="22"/>
        </w:rPr>
        <w:br/>
        <w:t>La dernière journée est consacrée au renforcement de la confiance en tant que formateur. Les participants affineront un concept de formation local, adapteront les supports à leur contexte spécifique et s'exerceront à simplifier des concepts complexes en matière de marchés publics. Chaque participant animera une mini-session et recevra des retours structurés de ses pairs ainsi qu'un accompagnement. Nous aborderons également le suivi et l'évaluation, y compris les indicateurs clés de performance (KPI), les mécanismes de reporting et les stratégies pour suivre la mise en œuvre locale. Le programme se conclut par l'élaboration d'un plan d'action, des déclarations d'engagement et l'accès à des ressources de soutien supplémentaires et à des communautés de pratique.</w:t>
      </w:r>
    </w:p>
    <w:p w14:paraId="00CF4541" w14:textId="77777777" w:rsidR="00CF4A70" w:rsidRDefault="00CF4A70" w:rsidP="00CF4A70">
      <w:pPr>
        <w:pStyle w:val="StandardWeb"/>
        <w:spacing w:before="0" w:beforeAutospacing="0" w:after="160" w:afterAutospacing="0"/>
      </w:pPr>
      <w:r>
        <w:rPr>
          <w:rFonts w:ascii="Aptos" w:hAnsi="Aptos"/>
          <w:b/>
          <w:bCs/>
          <w:color w:val="000000"/>
          <w:sz w:val="22"/>
          <w:szCs w:val="22"/>
        </w:rPr>
        <w:t>Notre approche</w:t>
      </w:r>
    </w:p>
    <w:p w14:paraId="2AA07547" w14:textId="77777777" w:rsidR="00CF4A70" w:rsidRDefault="00CF4A70" w:rsidP="00CF4A70">
      <w:pPr>
        <w:pStyle w:val="StandardWeb"/>
        <w:spacing w:before="0" w:beforeAutospacing="0" w:after="160" w:afterAutospacing="0"/>
      </w:pPr>
      <w:r>
        <w:rPr>
          <w:rFonts w:ascii="Aptos" w:hAnsi="Aptos"/>
          <w:color w:val="000000"/>
          <w:sz w:val="22"/>
          <w:szCs w:val="22"/>
        </w:rPr>
        <w:t>Il ne s'agit pas d'un cours magistral. Il est participatif, pratique et axé sur les pairs. Les participants apprendront par la pratique — à travers des exercices, des simulations, des analyses de cas et des mises en situation. À la fin du programme, ils comprendront non seulement les achats durables, mais seront également prêts à en faire la promotion, à les mettre en œuvre et à former d'autres personnes à faire de même.</w:t>
      </w:r>
    </w:p>
    <w:p w14:paraId="68BFF424" w14:textId="77777777" w:rsidR="00CF4A70" w:rsidRDefault="00CF4A70" w:rsidP="00CF4A70">
      <w:pPr>
        <w:pStyle w:val="StandardWeb"/>
        <w:spacing w:before="0" w:beforeAutospacing="0" w:after="160" w:afterAutospacing="0"/>
      </w:pPr>
      <w:r>
        <w:rPr>
          <w:rFonts w:ascii="Aptos" w:hAnsi="Aptos"/>
          <w:color w:val="000000"/>
          <w:sz w:val="22"/>
          <w:szCs w:val="22"/>
        </w:rPr>
        <w:t>Ensemble, nous visons à créer un réseau de formateurs compétents capables de traduire les ambitions de durabilité en pratiques d'achat concrètes, renforçant ainsi les municipalités et les communautés.</w:t>
      </w:r>
    </w:p>
    <w:p w14:paraId="2705FC22" w14:textId="77777777" w:rsidR="00CF4A70" w:rsidRDefault="00CF4A70" w:rsidP="00CF4A70">
      <w:pPr>
        <w:pStyle w:val="StandardWeb"/>
        <w:spacing w:before="0" w:beforeAutospacing="0" w:after="160" w:afterAutospacing="0"/>
      </w:pPr>
      <w:r>
        <w:rPr>
          <w:rFonts w:ascii="Aptos" w:hAnsi="Aptos"/>
          <w:b/>
          <w:bCs/>
          <w:color w:val="000000"/>
          <w:sz w:val="22"/>
          <w:szCs w:val="22"/>
        </w:rPr>
        <w:t>Profil des participants/formateurs</w:t>
      </w:r>
      <w:r>
        <w:rPr>
          <w:rFonts w:ascii="Aptos" w:hAnsi="Aptos"/>
          <w:color w:val="000000"/>
          <w:sz w:val="22"/>
          <w:szCs w:val="22"/>
        </w:rPr>
        <w:br/>
        <w:t>Les formateurs devraient idéalement être des professionnels ayant une expérience dans les achats municipaux et la durabilité ou dans le conseil au secteur public. Il peut s'agir de consultants externes, de fonctionnaires municipaux, de personnel des autorités régionales, de responsables régionaux, de responsables LEADER, de personnel d'ONG ou de personnel de l'administration municipale.</w:t>
      </w:r>
    </w:p>
    <w:p w14:paraId="2BA66790" w14:textId="77777777" w:rsidR="00CF4A70" w:rsidRDefault="00CF4A70" w:rsidP="00CF4A70">
      <w:pPr>
        <w:pStyle w:val="StandardWeb"/>
        <w:spacing w:before="0" w:beforeAutospacing="0" w:after="160" w:afterAutospacing="0"/>
      </w:pPr>
      <w:r>
        <w:rPr>
          <w:rFonts w:ascii="Aptos" w:hAnsi="Aptos"/>
          <w:b/>
          <w:bCs/>
          <w:color w:val="000000"/>
          <w:sz w:val="22"/>
          <w:szCs w:val="22"/>
        </w:rPr>
        <w:t>Public cible des formations</w:t>
      </w:r>
      <w:r>
        <w:rPr>
          <w:rFonts w:ascii="Aptos" w:hAnsi="Aptos"/>
          <w:color w:val="000000"/>
          <w:sz w:val="22"/>
          <w:szCs w:val="22"/>
        </w:rPr>
        <w:br/>
        <w:t>Élus locaux, responsables des marchés publics, secrétaires municipaux, responsables du développement durable, directeurs et personnel administratif des écoles et jardins d’enfants municipaux.</w:t>
      </w:r>
    </w:p>
    <w:p w14:paraId="29DFD688" w14:textId="77777777" w:rsidR="00CF4A70" w:rsidRDefault="00CF4A70" w:rsidP="00CF4A70">
      <w:pPr>
        <w:pStyle w:val="StandardWeb"/>
        <w:spacing w:before="0" w:beforeAutospacing="0" w:after="160" w:afterAutospacing="0"/>
      </w:pPr>
      <w:r>
        <w:rPr>
          <w:rFonts w:ascii="Aptos" w:hAnsi="Aptos"/>
          <w:b/>
          <w:bCs/>
          <w:color w:val="000000"/>
          <w:sz w:val="22"/>
          <w:szCs w:val="22"/>
        </w:rPr>
        <w:t>Méthodologie</w:t>
      </w:r>
      <w:r>
        <w:rPr>
          <w:rFonts w:ascii="Aptos" w:hAnsi="Aptos"/>
          <w:color w:val="000000"/>
          <w:sz w:val="22"/>
          <w:szCs w:val="22"/>
        </w:rPr>
        <w:br/>
        <w:t>Apprentissage mixte (en ligne + en présentiel), ateliers interactifs, études de cas concrets, listes de contrôle et plans d'action.</w:t>
      </w:r>
    </w:p>
    <w:p w14:paraId="145316A3" w14:textId="0B35E35F" w:rsidR="00CF4A70" w:rsidRDefault="00CF4A70" w:rsidP="00CF4A70">
      <w:pPr>
        <w:pStyle w:val="berschrift2"/>
        <w:rPr>
          <w:lang w:val="de-DE"/>
        </w:rPr>
      </w:pPr>
      <w:r>
        <w:rPr>
          <w:rFonts w:ascii="Aptos" w:hAnsi="Aptos"/>
          <w:b/>
          <w:bCs/>
          <w:color w:val="000000"/>
          <w:sz w:val="22"/>
          <w:szCs w:val="22"/>
        </w:rPr>
        <w:lastRenderedPageBreak/>
        <w:t>Durée</w:t>
      </w:r>
      <w:r>
        <w:rPr>
          <w:rFonts w:ascii="Aptos" w:hAnsi="Aptos"/>
          <w:color w:val="000000"/>
          <w:sz w:val="22"/>
          <w:szCs w:val="22"/>
        </w:rPr>
        <w:br/>
        <w:t>Trois jours de formation des formateurs, suivis de sessions de soutien ou de suivi périodiques. Les modules de la formation peuvent être utilisés de manière flexible, c'est-à-dire qu'ils peuvent également être répartis sur plus de trois jours à raison d'une demi-journée par jour.</w:t>
      </w:r>
    </w:p>
    <w:p w14:paraId="34761497" w14:textId="77777777" w:rsidR="00CF4A70" w:rsidRDefault="00CF4A70" w:rsidP="00177C85">
      <w:pPr>
        <w:pStyle w:val="berschrift2"/>
        <w:rPr>
          <w:lang w:val="de-DE"/>
        </w:rPr>
      </w:pPr>
    </w:p>
    <w:p w14:paraId="06D438E1" w14:textId="77777777" w:rsidR="00CF4A70" w:rsidRPr="00CF4A70" w:rsidRDefault="00CF4A70">
      <w:pPr>
        <w:pStyle w:val="berschrift2"/>
        <w:rPr>
          <w:rFonts w:ascii="Aptos" w:eastAsia="Times New Roman" w:hAnsi="Aptos" w:cs="Times New Roman"/>
          <w:sz w:val="36"/>
          <w:szCs w:val="36"/>
          <w:lang w:val="de-DE" w:bidi="ar-SA"/>
        </w:rPr>
      </w:pPr>
      <w:r w:rsidRPr="00CF4A70">
        <w:rPr>
          <w:rFonts w:ascii="Aptos" w:hAnsi="Aptos"/>
          <w:color w:val="0F4761"/>
        </w:rPr>
        <w:t>Programme jour par jour, matériel disponible et instructions</w:t>
      </w:r>
    </w:p>
    <w:p w14:paraId="1696D5B9" w14:textId="77777777" w:rsidR="00CF4A70" w:rsidRPr="00CF4A70" w:rsidRDefault="00CF4A70" w:rsidP="00CF4A70">
      <w:pPr>
        <w:pStyle w:val="berschrift3"/>
        <w:rPr>
          <w:rFonts w:ascii="Aptos" w:hAnsi="Aptos"/>
        </w:rPr>
      </w:pPr>
      <w:r w:rsidRPr="00CF4A70">
        <w:rPr>
          <w:rFonts w:ascii="Aptos" w:hAnsi="Aptos" w:cs="Calibri"/>
          <w:color w:val="0F4761"/>
        </w:rPr>
        <w:t>Jour 1 – Connaissances</w:t>
      </w:r>
    </w:p>
    <w:tbl>
      <w:tblPr>
        <w:tblW w:w="13887" w:type="dxa"/>
        <w:tblLayout w:type="fixed"/>
        <w:tblLook w:val="0400" w:firstRow="0" w:lastRow="0" w:firstColumn="0" w:lastColumn="0" w:noHBand="0" w:noVBand="1"/>
      </w:tblPr>
      <w:tblGrid>
        <w:gridCol w:w="810"/>
        <w:gridCol w:w="3225"/>
        <w:gridCol w:w="2565"/>
        <w:gridCol w:w="7287"/>
      </w:tblGrid>
      <w:tr w:rsidR="00CF4A70" w:rsidRPr="00051F12" w14:paraId="496795E5" w14:textId="77777777" w:rsidTr="00C54988">
        <w:trPr>
          <w:trHeight w:val="2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8FF7C" w14:textId="0DBBA03E" w:rsidR="00CF4A70" w:rsidRPr="00051F12" w:rsidRDefault="00CF4A70" w:rsidP="00CF4A70">
            <w:pPr>
              <w:spacing w:after="40"/>
              <w:rPr>
                <w:rFonts w:ascii="Aptos" w:hAnsi="Aptos"/>
                <w:b/>
                <w:bCs/>
                <w:lang w:val="de-DE"/>
              </w:rPr>
            </w:pPr>
            <w:r>
              <w:rPr>
                <w:rFonts w:ascii="Aptos" w:hAnsi="Aptos"/>
                <w:b/>
                <w:bCs/>
                <w:color w:val="000000"/>
              </w:rPr>
              <w:t>Heure</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DF843" w14:textId="653CC001" w:rsidR="00CF4A70" w:rsidRPr="00051F12" w:rsidRDefault="00CF4A70" w:rsidP="00CF4A70">
            <w:pPr>
              <w:spacing w:after="40"/>
              <w:rPr>
                <w:rFonts w:ascii="Aptos" w:hAnsi="Aptos"/>
                <w:lang w:val="de-DE"/>
              </w:rPr>
            </w:pPr>
            <w:r>
              <w:rPr>
                <w:rFonts w:ascii="Aptos" w:hAnsi="Aptos"/>
                <w:b/>
                <w:bCs/>
                <w:color w:val="000000"/>
              </w:rPr>
              <w:t>Titre et description</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9EF5E" w14:textId="75290693" w:rsidR="00CF4A70" w:rsidRPr="00051F12" w:rsidRDefault="00CF4A70" w:rsidP="00CF4A70">
            <w:pPr>
              <w:spacing w:after="40"/>
              <w:rPr>
                <w:rFonts w:ascii="Aptos" w:hAnsi="Aptos"/>
                <w:lang w:val="de-DE"/>
              </w:rPr>
            </w:pPr>
            <w:r>
              <w:rPr>
                <w:rFonts w:ascii="Aptos" w:hAnsi="Aptos"/>
                <w:b/>
                <w:bCs/>
                <w:color w:val="000000"/>
              </w:rPr>
              <w:t>Matériel</w:t>
            </w:r>
          </w:p>
        </w:tc>
        <w:tc>
          <w:tcPr>
            <w:tcW w:w="7287" w:type="dxa"/>
            <w:tcBorders>
              <w:top w:val="single" w:sz="4" w:space="0" w:color="000000"/>
              <w:left w:val="single" w:sz="4" w:space="0" w:color="000000"/>
              <w:bottom w:val="single" w:sz="4" w:space="0" w:color="000000"/>
              <w:right w:val="single" w:sz="4" w:space="0" w:color="000000"/>
            </w:tcBorders>
          </w:tcPr>
          <w:p w14:paraId="6442C7B0" w14:textId="68F8DF29" w:rsidR="00CF4A70" w:rsidRPr="00051F12" w:rsidRDefault="00CF4A70" w:rsidP="00CF4A70">
            <w:pPr>
              <w:spacing w:after="40"/>
              <w:rPr>
                <w:rFonts w:ascii="Aptos" w:hAnsi="Aptos"/>
                <w:b/>
                <w:bCs/>
                <w:lang w:val="de-DE"/>
              </w:rPr>
            </w:pPr>
            <w:r>
              <w:rPr>
                <w:rFonts w:ascii="Aptos" w:hAnsi="Aptos"/>
                <w:b/>
                <w:bCs/>
                <w:color w:val="000000"/>
              </w:rPr>
              <w:t>Instructions et objectifs pour le formateur</w:t>
            </w:r>
          </w:p>
        </w:tc>
      </w:tr>
      <w:tr w:rsidR="00CF4A70" w:rsidRPr="00051F12" w14:paraId="0BA74F3A" w14:textId="77777777" w:rsidTr="00C54988">
        <w:trPr>
          <w:trHeight w:val="39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E5686" w14:textId="69F7F70D" w:rsidR="00CF4A70" w:rsidRPr="00051F12" w:rsidRDefault="00CF4A70" w:rsidP="00CF4A70">
            <w:pPr>
              <w:spacing w:after="40"/>
              <w:rPr>
                <w:rFonts w:ascii="Aptos" w:hAnsi="Aptos"/>
                <w:lang w:val="de-DE"/>
              </w:rPr>
            </w:pPr>
            <w:r>
              <w:rPr>
                <w:rFonts w:ascii="Aptos" w:hAnsi="Aptos"/>
                <w:color w:val="000000"/>
              </w:rPr>
              <w:t>2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5C2F2" w14:textId="77777777" w:rsidR="00CF4A70" w:rsidRDefault="00CF4A70" w:rsidP="00CF4A70">
            <w:pPr>
              <w:pStyle w:val="StandardWeb"/>
              <w:spacing w:before="0" w:beforeAutospacing="0" w:after="40" w:afterAutospacing="0"/>
            </w:pPr>
            <w:r>
              <w:rPr>
                <w:rFonts w:ascii="Aptos" w:hAnsi="Aptos"/>
                <w:b/>
                <w:bCs/>
                <w:color w:val="000000"/>
                <w:sz w:val="22"/>
                <w:szCs w:val="22"/>
              </w:rPr>
              <w:t>Introduction aux achats durables</w:t>
            </w:r>
          </w:p>
          <w:p w14:paraId="2AA48E04" w14:textId="77777777" w:rsidR="00CF4A70" w:rsidRDefault="00CF4A70" w:rsidP="00CF4A70">
            <w:pPr>
              <w:pStyle w:val="StandardWeb"/>
              <w:numPr>
                <w:ilvl w:val="0"/>
                <w:numId w:val="2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Définitions (ONU, UE, ISO 20400)</w:t>
            </w:r>
          </w:p>
          <w:p w14:paraId="05E8E99A" w14:textId="77777777" w:rsidR="00CF4A70" w:rsidRDefault="00CF4A70" w:rsidP="00CF4A70">
            <w:pPr>
              <w:pStyle w:val="StandardWeb"/>
              <w:numPr>
                <w:ilvl w:val="0"/>
                <w:numId w:val="2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Dimensions environnementales, sociales et économiques</w:t>
            </w:r>
          </w:p>
          <w:p w14:paraId="5885734C" w14:textId="53566A9F" w:rsidR="00CF4A70" w:rsidRPr="00051F12" w:rsidRDefault="00CF4A70" w:rsidP="00CF4A70">
            <w:pPr>
              <w:numPr>
                <w:ilvl w:val="0"/>
                <w:numId w:val="10"/>
              </w:numPr>
              <w:spacing w:after="40"/>
              <w:rPr>
                <w:rFonts w:ascii="Aptos" w:hAnsi="Aptos"/>
                <w:lang w:val="de-DE"/>
              </w:rPr>
            </w:pPr>
            <w:r>
              <w:rPr>
                <w:rFonts w:ascii="Aptos" w:hAnsi="Aptos"/>
                <w:color w:val="000000"/>
              </w:rPr>
              <w:t>Alignement sur les ODD, les objectifs locaux en matière de climat et de résilience</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57C4C" w14:textId="77777777" w:rsidR="00CF4A70" w:rsidRDefault="00CF4A70" w:rsidP="00CF4A70">
            <w:pPr>
              <w:pStyle w:val="StandardWeb"/>
              <w:spacing w:before="0" w:beforeAutospacing="0" w:after="40" w:afterAutospacing="0"/>
            </w:pPr>
            <w:r>
              <w:rPr>
                <w:rFonts w:ascii="Aptos" w:hAnsi="Aptos"/>
                <w:color w:val="000000"/>
                <w:sz w:val="22"/>
                <w:szCs w:val="22"/>
              </w:rPr>
              <w:t>1_1_Présentation – Introduction aux achats durables</w:t>
            </w:r>
          </w:p>
          <w:p w14:paraId="5F2A0723" w14:textId="196E34D9" w:rsidR="00CF4A70" w:rsidRPr="00051F12" w:rsidRDefault="00CF4A70" w:rsidP="00CF4A70">
            <w:pPr>
              <w:spacing w:after="40"/>
              <w:rPr>
                <w:rFonts w:ascii="Aptos" w:hAnsi="Aptos"/>
                <w:lang w:val="de-DE"/>
              </w:rPr>
            </w:pPr>
            <w:r>
              <w:rPr>
                <w:rFonts w:ascii="Aptos" w:hAnsi="Aptos"/>
                <w:color w:val="000000"/>
              </w:rPr>
              <w:t>1_2_Quiz – Introduction aux achats durables</w:t>
            </w:r>
          </w:p>
        </w:tc>
        <w:tc>
          <w:tcPr>
            <w:tcW w:w="7287" w:type="dxa"/>
            <w:tcBorders>
              <w:top w:val="single" w:sz="4" w:space="0" w:color="000000"/>
              <w:left w:val="single" w:sz="4" w:space="0" w:color="000000"/>
              <w:bottom w:val="single" w:sz="4" w:space="0" w:color="000000"/>
              <w:right w:val="single" w:sz="4" w:space="0" w:color="000000"/>
            </w:tcBorders>
          </w:tcPr>
          <w:p w14:paraId="4FCF5F3C" w14:textId="77777777" w:rsidR="00CF4A70" w:rsidRDefault="00CF4A70" w:rsidP="00CF4A70">
            <w:pPr>
              <w:pStyle w:val="StandardWeb"/>
              <w:spacing w:before="0" w:beforeAutospacing="0" w:after="40" w:afterAutospacing="0"/>
            </w:pPr>
            <w:r>
              <w:rPr>
                <w:rFonts w:ascii="Aptos" w:hAnsi="Aptos"/>
                <w:i/>
                <w:iCs/>
                <w:color w:val="000000"/>
                <w:sz w:val="22"/>
                <w:szCs w:val="22"/>
              </w:rPr>
              <w:t>Vous pouvez commencer par le quiz. Si vous organisez votre formation en ligne, vous pouvez utiliser la fonction de sondage de Zoom ou de Mentimeter pour réaliser le quiz, ou demander aux participants de lever la main. </w:t>
            </w:r>
          </w:p>
          <w:p w14:paraId="61855B15" w14:textId="77777777" w:rsidR="00CF4A70" w:rsidRDefault="00CF4A70" w:rsidP="00CF4A70"/>
          <w:p w14:paraId="5404301C" w14:textId="77777777" w:rsidR="00CF4A70" w:rsidRDefault="00CF4A70" w:rsidP="00CF4A70">
            <w:pPr>
              <w:pStyle w:val="StandardWeb"/>
              <w:spacing w:before="0" w:beforeAutospacing="0" w:after="40" w:afterAutospacing="0"/>
            </w:pPr>
            <w:r>
              <w:rPr>
                <w:rFonts w:ascii="Aptos" w:hAnsi="Aptos"/>
                <w:i/>
                <w:iCs/>
                <w:color w:val="000000"/>
                <w:sz w:val="22"/>
                <w:szCs w:val="22"/>
              </w:rPr>
              <w:t>Vient ensuite une introduction au développement durable en général, à ses dimensions, notamment institutionnelles, et enfin à ce que signifie l'achat durable. Vous pouvez également utiliser des cartes postales comportant différentes affirmations sur la durabilité et interroger les participants sur leur compréhension de l'achat durable avant de commencer la présentation. </w:t>
            </w:r>
          </w:p>
          <w:p w14:paraId="3FB68933"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 xml:space="preserve">Objectifs </w:t>
            </w:r>
            <w:r>
              <w:rPr>
                <w:rFonts w:ascii="Aptos" w:hAnsi="Aptos"/>
                <w:color w:val="000000"/>
                <w:sz w:val="22"/>
                <w:szCs w:val="22"/>
              </w:rPr>
              <w:t>:</w:t>
            </w:r>
            <w:proofErr w:type="gramEnd"/>
          </w:p>
          <w:p w14:paraId="58BA3A00" w14:textId="77777777" w:rsidR="00CF4A70" w:rsidRDefault="00CF4A70" w:rsidP="00CF4A70">
            <w:pPr>
              <w:pStyle w:val="StandardWeb"/>
              <w:numPr>
                <w:ilvl w:val="0"/>
                <w:numId w:val="30"/>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Établir une compréhension commune des marchés publics durables en clarifiant les définitions et les cadres clés (ONU, UE, ISO 20400).</w:t>
            </w:r>
          </w:p>
          <w:p w14:paraId="7B4FEEFC" w14:textId="77777777" w:rsidR="00CF4A70" w:rsidRDefault="00CF4A70" w:rsidP="00CF4A70">
            <w:pPr>
              <w:pStyle w:val="StandardWeb"/>
              <w:numPr>
                <w:ilvl w:val="0"/>
                <w:numId w:val="30"/>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Expliquer les trois dimensions fondamentales — environnementale, sociale et économique — et leur interaction dans les décisions d'achat public.</w:t>
            </w:r>
          </w:p>
          <w:p w14:paraId="2A12315A" w14:textId="44902358" w:rsidR="00CF4A70" w:rsidRPr="00051F12" w:rsidRDefault="00CF4A70" w:rsidP="00CF4A70">
            <w:pPr>
              <w:pStyle w:val="Listenabsatz"/>
              <w:numPr>
                <w:ilvl w:val="0"/>
                <w:numId w:val="18"/>
              </w:numPr>
              <w:spacing w:after="40"/>
              <w:rPr>
                <w:rFonts w:ascii="Aptos" w:hAnsi="Aptos"/>
                <w:lang w:val="de-DE"/>
              </w:rPr>
            </w:pPr>
            <w:r>
              <w:rPr>
                <w:rFonts w:ascii="Aptos" w:hAnsi="Aptos"/>
                <w:color w:val="000000"/>
              </w:rPr>
              <w:lastRenderedPageBreak/>
              <w:t>Montrer comment les marchés publics durables contribuent aux ODD ainsi qu'aux objectifs locaux en matière de climat et de résilience, en reliant les cadres mondiaux à l'action municipale.</w:t>
            </w:r>
          </w:p>
        </w:tc>
      </w:tr>
      <w:tr w:rsidR="00CF4A70" w:rsidRPr="00051F12" w14:paraId="06C9D060" w14:textId="77777777" w:rsidTr="00C54988">
        <w:trPr>
          <w:trHeight w:val="11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719A5" w14:textId="5511BFAB" w:rsidR="00CF4A70" w:rsidRPr="00051F12" w:rsidRDefault="00CF4A70" w:rsidP="00CF4A70">
            <w:pPr>
              <w:spacing w:after="40"/>
              <w:rPr>
                <w:rFonts w:ascii="Aptos" w:hAnsi="Aptos"/>
                <w:highlight w:val="yellow"/>
                <w:lang w:val="de-DE"/>
              </w:rPr>
            </w:pPr>
            <w:r>
              <w:rPr>
                <w:rFonts w:ascii="Aptos" w:hAnsi="Aptos"/>
                <w:color w:val="000000"/>
              </w:rPr>
              <w:lastRenderedPageBreak/>
              <w:t>1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141F4" w14:textId="77777777" w:rsidR="00CF4A70" w:rsidRDefault="00CF4A70" w:rsidP="00CF4A70">
            <w:pPr>
              <w:pStyle w:val="StandardWeb"/>
              <w:spacing w:before="0" w:beforeAutospacing="0" w:after="40" w:afterAutospacing="0"/>
            </w:pPr>
            <w:r>
              <w:rPr>
                <w:rFonts w:ascii="Aptos" w:hAnsi="Aptos"/>
                <w:b/>
                <w:bCs/>
                <w:color w:val="000000"/>
                <w:sz w:val="22"/>
                <w:szCs w:val="22"/>
              </w:rPr>
              <w:t xml:space="preserve">Pourquoi est-ce important pour les petites </w:t>
            </w:r>
            <w:proofErr w:type="gramStart"/>
            <w:r>
              <w:rPr>
                <w:rFonts w:ascii="Aptos" w:hAnsi="Aptos"/>
                <w:b/>
                <w:bCs/>
                <w:color w:val="000000"/>
                <w:sz w:val="22"/>
                <w:szCs w:val="22"/>
              </w:rPr>
              <w:t>municipalités ?</w:t>
            </w:r>
            <w:proofErr w:type="gramEnd"/>
          </w:p>
          <w:p w14:paraId="608BE6CF" w14:textId="77777777" w:rsidR="00CF4A70" w:rsidRDefault="00CF4A70" w:rsidP="00CF4A70">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Les dépenses publiques comme levier de changement</w:t>
            </w:r>
          </w:p>
          <w:p w14:paraId="722283BD" w14:textId="77777777" w:rsidR="00CF4A70" w:rsidRDefault="00CF4A70" w:rsidP="00CF4A70">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Développement économique local et économie circulaire</w:t>
            </w:r>
          </w:p>
          <w:p w14:paraId="3124E31F" w14:textId="77777777" w:rsidR="00CF4A70" w:rsidRDefault="00CF4A70" w:rsidP="00CF4A70">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Réduction des risques et conformité</w:t>
            </w:r>
          </w:p>
          <w:p w14:paraId="12DEE2FF" w14:textId="6F29E0AB" w:rsidR="00CF4A70" w:rsidRPr="00051F12" w:rsidRDefault="00CF4A70" w:rsidP="00CF4A70">
            <w:pPr>
              <w:numPr>
                <w:ilvl w:val="0"/>
                <w:numId w:val="7"/>
              </w:numPr>
              <w:spacing w:after="40"/>
              <w:rPr>
                <w:rFonts w:ascii="Aptos" w:hAnsi="Aptos"/>
                <w:color w:val="000000"/>
                <w:lang w:val="de-DE"/>
              </w:rPr>
            </w:pPr>
            <w:r>
              <w:rPr>
                <w:rFonts w:ascii="Aptos" w:hAnsi="Aptos"/>
                <w:color w:val="000000"/>
              </w:rPr>
              <w:t xml:space="preserve">Exercice </w:t>
            </w:r>
            <w:proofErr w:type="gramStart"/>
            <w:r>
              <w:rPr>
                <w:rFonts w:ascii="Aptos" w:hAnsi="Aptos"/>
                <w:color w:val="000000"/>
              </w:rPr>
              <w:t>pratique :</w:t>
            </w:r>
            <w:proofErr w:type="gramEnd"/>
            <w:r>
              <w:rPr>
                <w:rFonts w:ascii="Aptos" w:hAnsi="Aptos"/>
                <w:color w:val="000000"/>
              </w:rPr>
              <w:t xml:space="preserve"> Arguments en faveur des marchés publics durables et questions fréquemment posées</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3AC90" w14:textId="77777777" w:rsidR="00CF4A70" w:rsidRDefault="00CF4A70" w:rsidP="00CF4A70">
            <w:pPr>
              <w:pStyle w:val="StandardWeb"/>
              <w:spacing w:before="0" w:beforeAutospacing="0" w:after="40" w:afterAutospacing="0"/>
            </w:pPr>
            <w:r>
              <w:rPr>
                <w:rFonts w:ascii="Aptos" w:hAnsi="Aptos"/>
                <w:color w:val="000000"/>
                <w:sz w:val="22"/>
                <w:szCs w:val="22"/>
              </w:rPr>
              <w:t xml:space="preserve">1_3_Présentation – Pourquoi est-ce </w:t>
            </w:r>
            <w:proofErr w:type="gramStart"/>
            <w:r>
              <w:rPr>
                <w:rFonts w:ascii="Aptos" w:hAnsi="Aptos"/>
                <w:color w:val="000000"/>
                <w:sz w:val="22"/>
                <w:szCs w:val="22"/>
              </w:rPr>
              <w:t>important ?</w:t>
            </w:r>
            <w:proofErr w:type="gramEnd"/>
          </w:p>
          <w:p w14:paraId="0A5039BE" w14:textId="2A6FC01E" w:rsidR="00CF4A70" w:rsidRPr="00051F12" w:rsidRDefault="00CF4A70" w:rsidP="00CF4A70">
            <w:pPr>
              <w:spacing w:after="40"/>
              <w:rPr>
                <w:rFonts w:ascii="Aptos" w:hAnsi="Aptos"/>
                <w:lang w:val="de-DE"/>
              </w:rPr>
            </w:pPr>
            <w:r>
              <w:rPr>
                <w:rFonts w:ascii="Aptos" w:hAnsi="Aptos"/>
                <w:color w:val="000000"/>
              </w:rPr>
              <w:t xml:space="preserve">1_4_Exercice – Pourquoi est-ce </w:t>
            </w:r>
            <w:proofErr w:type="gramStart"/>
            <w:r>
              <w:rPr>
                <w:rFonts w:ascii="Aptos" w:hAnsi="Aptos"/>
                <w:color w:val="000000"/>
              </w:rPr>
              <w:t>important ?</w:t>
            </w:r>
            <w:proofErr w:type="gramEnd"/>
          </w:p>
        </w:tc>
        <w:tc>
          <w:tcPr>
            <w:tcW w:w="7287" w:type="dxa"/>
            <w:tcBorders>
              <w:top w:val="single" w:sz="4" w:space="0" w:color="000000"/>
              <w:left w:val="single" w:sz="4" w:space="0" w:color="000000"/>
              <w:bottom w:val="single" w:sz="4" w:space="0" w:color="000000"/>
              <w:right w:val="single" w:sz="4" w:space="0" w:color="000000"/>
            </w:tcBorders>
          </w:tcPr>
          <w:p w14:paraId="155D23D6" w14:textId="77777777" w:rsidR="00CF4A70" w:rsidRDefault="00CF4A70" w:rsidP="00CF4A70">
            <w:pPr>
              <w:pStyle w:val="StandardWeb"/>
              <w:spacing w:before="0" w:beforeAutospacing="0" w:after="40" w:afterAutospacing="0"/>
            </w:pPr>
            <w:r>
              <w:rPr>
                <w:rFonts w:ascii="Aptos" w:hAnsi="Aptos"/>
                <w:i/>
                <w:iCs/>
                <w:color w:val="000000"/>
                <w:sz w:val="22"/>
                <w:szCs w:val="22"/>
              </w:rPr>
              <w:t>Après avoir présenté les arguments en faveur des achats durables, réalisez l'exercice.</w:t>
            </w:r>
          </w:p>
          <w:p w14:paraId="3134849C" w14:textId="77777777" w:rsidR="00CF4A70" w:rsidRDefault="00CF4A70" w:rsidP="00CF4A70">
            <w:pPr>
              <w:pStyle w:val="StandardWeb"/>
              <w:spacing w:before="0" w:beforeAutospacing="0" w:after="40" w:afterAutospacing="0"/>
            </w:pPr>
            <w:r>
              <w:rPr>
                <w:rFonts w:ascii="Aptos" w:hAnsi="Aptos"/>
                <w:i/>
                <w:iCs/>
                <w:color w:val="000000"/>
                <w:sz w:val="22"/>
                <w:szCs w:val="22"/>
              </w:rPr>
              <w:t xml:space="preserve">Voir le document 1_4_Exercice – Pourquoi est-ce </w:t>
            </w:r>
            <w:proofErr w:type="gramStart"/>
            <w:r>
              <w:rPr>
                <w:rFonts w:ascii="Aptos" w:hAnsi="Aptos"/>
                <w:i/>
                <w:iCs/>
                <w:color w:val="000000"/>
                <w:sz w:val="22"/>
                <w:szCs w:val="22"/>
              </w:rPr>
              <w:t>important ?</w:t>
            </w:r>
            <w:proofErr w:type="gramEnd"/>
            <w:r>
              <w:rPr>
                <w:rFonts w:ascii="Aptos" w:hAnsi="Aptos"/>
                <w:i/>
                <w:iCs/>
                <w:color w:val="000000"/>
                <w:sz w:val="22"/>
                <w:szCs w:val="22"/>
              </w:rPr>
              <w:t xml:space="preserve"> Il s'agit d'une activité en binôme dans laquelle l'un des partenaires exprime des critiques à l'égard des achats durables. L'autre partenaire doit alors y répondre en s'appuyant sur les connaissances acquises jusqu'à présent. Soit deux personnes effectuent cet exercice devant l'ensemble du groupe, soit chaque équipe reçoit un bocal contenant différents scénarios à piocher. Les participants jouent ces scénarios par deux, puis les rassemblent et y réfléchissent lors de la séance plénière à la fin.</w:t>
            </w:r>
          </w:p>
          <w:p w14:paraId="46D03388"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3C55C099" w14:textId="77777777" w:rsidR="00CF4A70" w:rsidRDefault="00CF4A70" w:rsidP="00CF4A70">
            <w:pPr>
              <w:pStyle w:val="StandardWeb"/>
              <w:numPr>
                <w:ilvl w:val="0"/>
                <w:numId w:val="32"/>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Mettre en évidence comment les dépenses publiques peuvent être utilisées stratégiquement comme un levier puissant pour favoriser la durabilité et influencer les marchés locaux.</w:t>
            </w:r>
          </w:p>
          <w:p w14:paraId="40CA7F67" w14:textId="77777777" w:rsidR="00CF4A70" w:rsidRDefault="00CF4A70" w:rsidP="00CF4A70">
            <w:pPr>
              <w:pStyle w:val="StandardWeb"/>
              <w:numPr>
                <w:ilvl w:val="0"/>
                <w:numId w:val="32"/>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Démontrer le potentiel des marchés publics durables pour renforcer le développement économique local, soutenir les approches d'économie circulaire et renforcer la résilience des communautés.</w:t>
            </w:r>
          </w:p>
          <w:p w14:paraId="025345DB" w14:textId="338679BF" w:rsidR="00CF4A70" w:rsidRPr="00051F12" w:rsidRDefault="00CF4A70" w:rsidP="00CF4A70">
            <w:pPr>
              <w:pStyle w:val="Listenabsatz"/>
              <w:numPr>
                <w:ilvl w:val="0"/>
                <w:numId w:val="19"/>
              </w:numPr>
              <w:spacing w:after="40"/>
              <w:ind w:left="360"/>
              <w:rPr>
                <w:rFonts w:ascii="Aptos" w:hAnsi="Aptos"/>
                <w:lang w:val="de-DE"/>
              </w:rPr>
            </w:pPr>
            <w:r>
              <w:rPr>
                <w:rFonts w:ascii="Aptos" w:hAnsi="Aptos"/>
                <w:color w:val="000000"/>
              </w:rPr>
              <w:t>Doter les participants d'outils d'argumentation pratiques pour répondre avec assurance aux questions fréquemment posées et promouvoir les achats durables dans leurs municipalités.</w:t>
            </w:r>
          </w:p>
        </w:tc>
      </w:tr>
      <w:tr w:rsidR="00CF4A70" w:rsidRPr="00051F12" w14:paraId="44C34127"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BAD2C" w14:textId="25603796" w:rsidR="00CF4A70" w:rsidRPr="00051F12" w:rsidRDefault="00CF4A70" w:rsidP="00CF4A70">
            <w:pPr>
              <w:spacing w:after="40"/>
              <w:rPr>
                <w:rFonts w:ascii="Aptos" w:hAnsi="Aptos"/>
                <w:highlight w:val="yellow"/>
                <w:lang w:val="de-DE"/>
              </w:rPr>
            </w:pPr>
            <w:r>
              <w:rPr>
                <w:rFonts w:ascii="Aptos" w:hAnsi="Aptos"/>
                <w:color w:val="000000"/>
              </w:rPr>
              <w:lastRenderedPageBreak/>
              <w:t>2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DA2FA" w14:textId="77777777" w:rsidR="00CF4A70" w:rsidRDefault="00CF4A70" w:rsidP="00CF4A70">
            <w:pPr>
              <w:pStyle w:val="StandardWeb"/>
              <w:spacing w:before="0" w:beforeAutospacing="0" w:after="40" w:afterAutospacing="0"/>
            </w:pPr>
            <w:r>
              <w:rPr>
                <w:rFonts w:ascii="Aptos" w:hAnsi="Aptos"/>
                <w:b/>
                <w:bCs/>
                <w:color w:val="000000"/>
                <w:sz w:val="22"/>
                <w:szCs w:val="22"/>
              </w:rPr>
              <w:t>Cadres juridiques et politiques</w:t>
            </w:r>
          </w:p>
          <w:p w14:paraId="4C120AE4" w14:textId="77777777" w:rsidR="00CF4A70" w:rsidRDefault="00CF4A70" w:rsidP="00CF4A70">
            <w:pPr>
              <w:pStyle w:val="StandardWeb"/>
              <w:numPr>
                <w:ilvl w:val="0"/>
                <w:numId w:val="33"/>
              </w:numPr>
              <w:spacing w:before="0" w:beforeAutospacing="0" w:after="40" w:afterAutospacing="0"/>
              <w:ind w:left="717"/>
              <w:textAlignment w:val="baseline"/>
              <w:rPr>
                <w:rFonts w:ascii="Aptos" w:hAnsi="Aptos"/>
                <w:color w:val="000000"/>
                <w:sz w:val="22"/>
                <w:szCs w:val="22"/>
              </w:rPr>
            </w:pPr>
            <w:r>
              <w:rPr>
                <w:rFonts w:ascii="Aptos" w:hAnsi="Aptos"/>
                <w:color w:val="000000"/>
                <w:sz w:val="22"/>
                <w:szCs w:val="22"/>
              </w:rPr>
              <w:t>Législation applicable en matière de marchés publics</w:t>
            </w:r>
          </w:p>
          <w:p w14:paraId="6B389DE6" w14:textId="77777777" w:rsidR="00CF4A70" w:rsidRDefault="00CF4A70" w:rsidP="00CF4A70">
            <w:pPr>
              <w:pStyle w:val="StandardWeb"/>
              <w:numPr>
                <w:ilvl w:val="0"/>
                <w:numId w:val="33"/>
              </w:numPr>
              <w:spacing w:before="0" w:beforeAutospacing="0" w:after="40" w:afterAutospacing="0"/>
              <w:ind w:left="717"/>
              <w:textAlignment w:val="baseline"/>
              <w:rPr>
                <w:rFonts w:ascii="Aptos" w:hAnsi="Aptos"/>
                <w:color w:val="000000"/>
                <w:sz w:val="22"/>
                <w:szCs w:val="22"/>
              </w:rPr>
            </w:pPr>
            <w:r>
              <w:rPr>
                <w:rFonts w:ascii="Aptos" w:hAnsi="Aptos"/>
                <w:color w:val="000000"/>
                <w:sz w:val="22"/>
                <w:szCs w:val="22"/>
              </w:rPr>
              <w:t>Intégration des critères dans les documents d'appel d'offres</w:t>
            </w:r>
          </w:p>
          <w:p w14:paraId="4871E2D4" w14:textId="760E6EEC" w:rsidR="00CF4A70" w:rsidRPr="00051F12" w:rsidRDefault="00CF4A70" w:rsidP="00CF4A70">
            <w:pPr>
              <w:numPr>
                <w:ilvl w:val="0"/>
                <w:numId w:val="8"/>
              </w:numPr>
              <w:spacing w:after="40"/>
              <w:ind w:left="714" w:hanging="357"/>
              <w:rPr>
                <w:rFonts w:ascii="Aptos" w:hAnsi="Aptos"/>
                <w:lang w:val="de-DE"/>
              </w:rPr>
            </w:pPr>
            <w:r>
              <w:rPr>
                <w:rFonts w:ascii="Aptos" w:hAnsi="Aptos"/>
                <w:color w:val="000000"/>
              </w:rPr>
              <w:t xml:space="preserve">Exercice </w:t>
            </w:r>
            <w:proofErr w:type="gramStart"/>
            <w:r>
              <w:rPr>
                <w:rFonts w:ascii="Aptos" w:hAnsi="Aptos"/>
                <w:color w:val="000000"/>
              </w:rPr>
              <w:t>pratique :</w:t>
            </w:r>
            <w:proofErr w:type="gramEnd"/>
            <w:r>
              <w:rPr>
                <w:rFonts w:ascii="Aptos" w:hAnsi="Aptos"/>
                <w:color w:val="000000"/>
              </w:rPr>
              <w:t xml:space="preserve"> comment et où les aspects de durabilité peuvent-ils être pris en compte avec une sécurité </w:t>
            </w:r>
            <w:proofErr w:type="gramStart"/>
            <w:r>
              <w:rPr>
                <w:rFonts w:ascii="Aptos" w:hAnsi="Aptos"/>
                <w:color w:val="000000"/>
              </w:rPr>
              <w:t>juridique ?</w:t>
            </w:r>
            <w:proofErr w:type="gramEnd"/>
            <w:r>
              <w:rPr>
                <w:rFonts w:ascii="Aptos" w:hAnsi="Aptos"/>
                <w:color w:val="000000"/>
              </w:rPr>
              <w:t> </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14D2A" w14:textId="77777777" w:rsidR="00CF4A70" w:rsidRDefault="00CF4A70" w:rsidP="00CF4A70">
            <w:pPr>
              <w:pStyle w:val="StandardWeb"/>
              <w:spacing w:before="0" w:beforeAutospacing="0" w:after="40" w:afterAutospacing="0"/>
            </w:pPr>
            <w:r>
              <w:rPr>
                <w:rFonts w:ascii="Aptos" w:hAnsi="Aptos"/>
                <w:color w:val="000000"/>
                <w:sz w:val="22"/>
                <w:szCs w:val="22"/>
              </w:rPr>
              <w:t>1_5_Présentation – Cadres juridiques et politiques</w:t>
            </w:r>
          </w:p>
          <w:p w14:paraId="2CC81EFB" w14:textId="0E4A08E5" w:rsidR="00CF4A70" w:rsidRPr="00051F12" w:rsidRDefault="00CF4A70" w:rsidP="00CF4A70">
            <w:pPr>
              <w:spacing w:after="40"/>
              <w:rPr>
                <w:rFonts w:ascii="Aptos" w:hAnsi="Aptos"/>
                <w:color w:val="000000" w:themeColor="text1"/>
                <w:lang w:val="de-DE"/>
              </w:rPr>
            </w:pPr>
            <w:hyperlink r:id="rId8" w:history="1">
              <w:r>
                <w:rPr>
                  <w:rStyle w:val="Hyperlink"/>
                  <w:rFonts w:ascii="Aptos" w:hAnsi="Aptos"/>
                  <w:color w:val="000000"/>
                  <w:u w:val="none"/>
                </w:rPr>
                <w:t>1_6_Exercice – Cadres juridiques et politiques</w:t>
              </w:r>
            </w:hyperlink>
          </w:p>
        </w:tc>
        <w:tc>
          <w:tcPr>
            <w:tcW w:w="7287" w:type="dxa"/>
            <w:tcBorders>
              <w:top w:val="single" w:sz="4" w:space="0" w:color="000000"/>
              <w:left w:val="single" w:sz="4" w:space="0" w:color="000000"/>
              <w:bottom w:val="single" w:sz="4" w:space="0" w:color="000000"/>
              <w:right w:val="single" w:sz="4" w:space="0" w:color="000000"/>
            </w:tcBorders>
          </w:tcPr>
          <w:p w14:paraId="500E9472" w14:textId="77777777" w:rsidR="00CF4A70" w:rsidRDefault="00CF4A70" w:rsidP="00CF4A70">
            <w:pPr>
              <w:pStyle w:val="StandardWeb"/>
              <w:spacing w:before="0" w:beforeAutospacing="0" w:after="40" w:afterAutospacing="0"/>
            </w:pPr>
            <w:r>
              <w:rPr>
                <w:rFonts w:ascii="Aptos" w:hAnsi="Aptos"/>
                <w:i/>
                <w:iCs/>
                <w:color w:val="000000"/>
                <w:sz w:val="22"/>
                <w:szCs w:val="22"/>
              </w:rPr>
              <w:t>Après la présentation sur le cadre juridique et politique, réalisez l'exercice pour mettre en pratique les connaissances théoriques. Voir le document 1_6 Exercice – Cadre juridique et politique. </w:t>
            </w:r>
          </w:p>
          <w:p w14:paraId="5A61B0B4"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70C4DAAE" w14:textId="77777777" w:rsidR="00CF4A70" w:rsidRDefault="00CF4A70" w:rsidP="00CF4A70">
            <w:pPr>
              <w:pStyle w:val="StandardWeb"/>
              <w:numPr>
                <w:ilvl w:val="0"/>
                <w:numId w:val="3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Les participants connaissent le cadre juridique et politique des marchés publics durables dans leur pays</w:t>
            </w:r>
          </w:p>
          <w:p w14:paraId="4B0637A0" w14:textId="77777777" w:rsidR="00CF4A70" w:rsidRDefault="00CF4A70" w:rsidP="00CF4A70">
            <w:pPr>
              <w:pStyle w:val="StandardWeb"/>
              <w:numPr>
                <w:ilvl w:val="0"/>
                <w:numId w:val="3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Les participants apprennent à identifier les moyens légalement autorisés d'intégrer des critères de durabilité dans les documents d'appel d'offres </w:t>
            </w:r>
          </w:p>
          <w:p w14:paraId="43EAD9FF" w14:textId="4890DD0D" w:rsidR="00CF4A70" w:rsidRPr="00051F12" w:rsidRDefault="00CF4A70" w:rsidP="00CF4A70">
            <w:pPr>
              <w:pStyle w:val="Listenabsatz"/>
              <w:numPr>
                <w:ilvl w:val="0"/>
                <w:numId w:val="20"/>
              </w:numPr>
              <w:spacing w:after="40"/>
              <w:rPr>
                <w:rFonts w:ascii="Aptos" w:hAnsi="Aptos"/>
                <w:i/>
                <w:iCs/>
                <w:lang w:val="de-DE"/>
              </w:rPr>
            </w:pPr>
            <w:r>
              <w:rPr>
                <w:rFonts w:ascii="Aptos" w:hAnsi="Aptos"/>
                <w:color w:val="000000"/>
              </w:rPr>
              <w:t>Les participants apprennent à distinguer les pratiques juridiquement valables de celles qui sont risquées ou illégales.</w:t>
            </w:r>
          </w:p>
        </w:tc>
      </w:tr>
      <w:tr w:rsidR="00CF4A70" w:rsidRPr="00051F12" w14:paraId="2A243890"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7559B" w14:textId="71522B40" w:rsidR="00CF4A70" w:rsidRPr="00051F12" w:rsidRDefault="00CF4A70" w:rsidP="00CF4A70">
            <w:pPr>
              <w:spacing w:after="40"/>
              <w:rPr>
                <w:rFonts w:ascii="Aptos" w:hAnsi="Aptos"/>
                <w:highlight w:val="yellow"/>
                <w:lang w:val="de-DE"/>
              </w:rPr>
            </w:pPr>
            <w:r>
              <w:rPr>
                <w:rFonts w:ascii="Aptos" w:hAnsi="Aptos"/>
                <w:color w:val="000000"/>
              </w:rPr>
              <w:t>1 h 30</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3B0AC" w14:textId="77777777" w:rsidR="00CF4A70" w:rsidRDefault="00CF4A70" w:rsidP="00CF4A70">
            <w:pPr>
              <w:pStyle w:val="StandardWeb"/>
              <w:spacing w:before="0" w:beforeAutospacing="0" w:after="40" w:afterAutospacing="0"/>
            </w:pPr>
            <w:r>
              <w:rPr>
                <w:rFonts w:ascii="Aptos" w:hAnsi="Aptos"/>
                <w:b/>
                <w:bCs/>
                <w:color w:val="000000"/>
                <w:sz w:val="22"/>
                <w:szCs w:val="22"/>
              </w:rPr>
              <w:t>Compétences de formation</w:t>
            </w:r>
          </w:p>
          <w:p w14:paraId="5FAD5FEB" w14:textId="77777777" w:rsidR="00CF4A70" w:rsidRDefault="00CF4A70" w:rsidP="00CF4A70">
            <w:pPr>
              <w:pStyle w:val="StandardWeb"/>
              <w:numPr>
                <w:ilvl w:val="0"/>
                <w:numId w:val="3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Principes de la formation des adultes, par exemple une approche méthodique de la transmission des connaissances</w:t>
            </w:r>
          </w:p>
          <w:p w14:paraId="1945A560" w14:textId="77777777" w:rsidR="00CF4A70" w:rsidRDefault="00CF4A70" w:rsidP="00CF4A70">
            <w:pPr>
              <w:pStyle w:val="StandardWeb"/>
              <w:numPr>
                <w:ilvl w:val="0"/>
                <w:numId w:val="3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Animation vs cours magistral</w:t>
            </w:r>
          </w:p>
          <w:p w14:paraId="333FA5CE" w14:textId="1FE606AE" w:rsidR="00CF4A70" w:rsidRPr="00051F12" w:rsidRDefault="00CF4A70" w:rsidP="00CF4A70">
            <w:pPr>
              <w:numPr>
                <w:ilvl w:val="0"/>
                <w:numId w:val="9"/>
              </w:numPr>
              <w:spacing w:after="40"/>
              <w:rPr>
                <w:rFonts w:ascii="Aptos" w:hAnsi="Aptos"/>
                <w:color w:val="000000" w:themeColor="text1"/>
                <w:lang w:val="de-DE"/>
              </w:rPr>
            </w:pPr>
            <w:r>
              <w:rPr>
                <w:rFonts w:ascii="Aptos" w:hAnsi="Aptos"/>
                <w:color w:val="000000"/>
              </w:rPr>
              <w:t>Défis courants en matière de formation et comment les relever</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A0B86" w14:textId="77777777" w:rsidR="00CF4A70" w:rsidRDefault="00CF4A70" w:rsidP="00CF4A70">
            <w:pPr>
              <w:pStyle w:val="StandardWeb"/>
              <w:spacing w:before="0" w:beforeAutospacing="0" w:after="40" w:afterAutospacing="0"/>
            </w:pPr>
            <w:r>
              <w:rPr>
                <w:rFonts w:ascii="Aptos" w:hAnsi="Aptos"/>
                <w:color w:val="000000"/>
                <w:sz w:val="22"/>
                <w:szCs w:val="22"/>
              </w:rPr>
              <w:t>1_7_Présentation – Compétences en formation – Introduction</w:t>
            </w:r>
          </w:p>
          <w:p w14:paraId="54E8DE88" w14:textId="77777777" w:rsidR="00CF4A70" w:rsidRDefault="00CF4A70" w:rsidP="00CF4A70">
            <w:pPr>
              <w:pStyle w:val="StandardWeb"/>
              <w:spacing w:before="0" w:beforeAutospacing="0" w:after="40" w:afterAutospacing="0"/>
            </w:pPr>
            <w:r>
              <w:rPr>
                <w:rFonts w:ascii="Aptos" w:hAnsi="Aptos"/>
                <w:color w:val="000000"/>
                <w:sz w:val="22"/>
                <w:szCs w:val="22"/>
              </w:rPr>
              <w:t>1_8_Présentation – Compétences en formation – Exercice</w:t>
            </w:r>
          </w:p>
          <w:p w14:paraId="0E6EB7CE" w14:textId="04ADF2DB" w:rsidR="00CF4A70" w:rsidRPr="00051F12" w:rsidRDefault="00CF4A70" w:rsidP="00CF4A70">
            <w:pPr>
              <w:spacing w:after="40"/>
              <w:rPr>
                <w:rFonts w:ascii="Aptos" w:hAnsi="Aptos"/>
                <w:color w:val="000000" w:themeColor="text1"/>
                <w:lang w:val="de-DE"/>
              </w:rPr>
            </w:pPr>
            <w:r>
              <w:rPr>
                <w:rFonts w:ascii="Aptos" w:hAnsi="Aptos"/>
                <w:color w:val="000000"/>
              </w:rPr>
              <w:t>1_9_Exercice – Compétences en formation – Fiches de rôle</w:t>
            </w:r>
          </w:p>
        </w:tc>
        <w:tc>
          <w:tcPr>
            <w:tcW w:w="7287" w:type="dxa"/>
            <w:tcBorders>
              <w:top w:val="single" w:sz="4" w:space="0" w:color="000000"/>
              <w:left w:val="single" w:sz="4" w:space="0" w:color="000000"/>
              <w:bottom w:val="single" w:sz="4" w:space="0" w:color="000000"/>
              <w:right w:val="single" w:sz="4" w:space="0" w:color="000000"/>
            </w:tcBorders>
          </w:tcPr>
          <w:p w14:paraId="654A1EA4" w14:textId="77777777" w:rsidR="00CF4A70" w:rsidRDefault="00CF4A70" w:rsidP="00CF4A70">
            <w:pPr>
              <w:pStyle w:val="StandardWeb"/>
              <w:spacing w:before="0" w:beforeAutospacing="0" w:after="40" w:afterAutospacing="0"/>
            </w:pPr>
            <w:r>
              <w:rPr>
                <w:rFonts w:ascii="Aptos" w:hAnsi="Aptos"/>
                <w:i/>
                <w:iCs/>
                <w:color w:val="000000"/>
                <w:sz w:val="22"/>
                <w:szCs w:val="22"/>
              </w:rPr>
              <w:t>Consultez le document 1_8_Présentation-Exercice sur les compétences en formation que vous pouvez réaliser après la session théorique sur les compétences en formation. Il s'agit d'un jeu de rôle visant à gérer les réticences concernant les achats durables et équitables, qui aide les participants à répondre aux objections et aux réticences.</w:t>
            </w:r>
          </w:p>
          <w:p w14:paraId="6786797B"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2CEF3FD9" w14:textId="77777777" w:rsidR="00CF4A70" w:rsidRDefault="00CF4A70" w:rsidP="00CF4A70">
            <w:pPr>
              <w:pStyle w:val="StandardWeb"/>
              <w:numPr>
                <w:ilvl w:val="0"/>
                <w:numId w:val="36"/>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Les participants comprennent les principes de la formation des adultes et sont capables de les appliquer lors d'une formation</w:t>
            </w:r>
          </w:p>
          <w:p w14:paraId="71712B57" w14:textId="77777777" w:rsidR="00CF4A70" w:rsidRDefault="00CF4A70" w:rsidP="00CF4A70">
            <w:pPr>
              <w:pStyle w:val="StandardWeb"/>
              <w:numPr>
                <w:ilvl w:val="0"/>
                <w:numId w:val="36"/>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Les participants apprennent à gérer les objections et les réticences.</w:t>
            </w:r>
          </w:p>
          <w:p w14:paraId="0FDD627E" w14:textId="1D989BB3" w:rsidR="00CF4A70" w:rsidRPr="00051F12" w:rsidRDefault="00CF4A70" w:rsidP="00CF4A70">
            <w:pPr>
              <w:pStyle w:val="Listenabsatz"/>
              <w:numPr>
                <w:ilvl w:val="0"/>
                <w:numId w:val="21"/>
              </w:numPr>
              <w:spacing w:after="40"/>
              <w:rPr>
                <w:rFonts w:ascii="Aptos" w:hAnsi="Aptos"/>
                <w:lang w:val="de-DE"/>
              </w:rPr>
            </w:pPr>
            <w:r>
              <w:rPr>
                <w:rFonts w:ascii="Aptos" w:hAnsi="Aptos"/>
                <w:color w:val="000000"/>
              </w:rPr>
              <w:t>Les participants s'entraînent à mener des conversations de manière valorisante et axée sur les solutions.</w:t>
            </w:r>
          </w:p>
        </w:tc>
      </w:tr>
    </w:tbl>
    <w:p w14:paraId="4A9AA748" w14:textId="77777777" w:rsidR="00D118F5" w:rsidRPr="00051F12" w:rsidRDefault="00D118F5" w:rsidP="00D118F5">
      <w:pPr>
        <w:spacing w:after="40"/>
        <w:rPr>
          <w:rFonts w:ascii="Aptos" w:hAnsi="Aptos"/>
          <w:lang w:val="de-DE"/>
        </w:rPr>
      </w:pPr>
    </w:p>
    <w:p w14:paraId="4E6B818B" w14:textId="07F72C51" w:rsidR="00D118F5" w:rsidRPr="00CF4A70" w:rsidRDefault="00CF4A70" w:rsidP="00177C85">
      <w:pPr>
        <w:pStyle w:val="berschrift3"/>
        <w:rPr>
          <w:rFonts w:ascii="Aptos" w:hAnsi="Aptos"/>
          <w:lang w:val="de-DE"/>
        </w:rPr>
      </w:pPr>
      <w:r w:rsidRPr="00CF4A70">
        <w:rPr>
          <w:rFonts w:ascii="Aptos" w:hAnsi="Aptos" w:cs="Calibri"/>
          <w:color w:val="0F4761"/>
        </w:rPr>
        <w:lastRenderedPageBreak/>
        <w:t>Jour 2 – Analyse</w:t>
      </w:r>
    </w:p>
    <w:tbl>
      <w:tblPr>
        <w:tblW w:w="13887" w:type="dxa"/>
        <w:tblLayout w:type="fixed"/>
        <w:tblLook w:val="0400" w:firstRow="0" w:lastRow="0" w:firstColumn="0" w:lastColumn="0" w:noHBand="0" w:noVBand="1"/>
      </w:tblPr>
      <w:tblGrid>
        <w:gridCol w:w="780"/>
        <w:gridCol w:w="3326"/>
        <w:gridCol w:w="2552"/>
        <w:gridCol w:w="7229"/>
      </w:tblGrid>
      <w:tr w:rsidR="00CF4A70" w:rsidRPr="00051F12" w14:paraId="1B8829DA" w14:textId="77777777" w:rsidTr="000B1AC5">
        <w:trPr>
          <w:trHeight w:val="295"/>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57ED3" w14:textId="3186990D" w:rsidR="00CF4A70" w:rsidRPr="00051F12" w:rsidRDefault="00CF4A70" w:rsidP="00CF4A70">
            <w:pPr>
              <w:spacing w:after="40"/>
              <w:rPr>
                <w:rFonts w:ascii="Aptos" w:hAnsi="Aptos"/>
                <w:b/>
                <w:bCs/>
                <w:lang w:val="de-DE"/>
              </w:rPr>
            </w:pPr>
            <w:r>
              <w:rPr>
                <w:rFonts w:ascii="Aptos" w:hAnsi="Aptos"/>
                <w:b/>
                <w:bCs/>
                <w:color w:val="000000"/>
              </w:rPr>
              <w:t>Heure</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F2983" w14:textId="073A763B" w:rsidR="00CF4A70" w:rsidRPr="00051F12" w:rsidRDefault="00CF4A70" w:rsidP="00CF4A70">
            <w:pPr>
              <w:spacing w:after="40"/>
              <w:rPr>
                <w:rFonts w:ascii="Aptos" w:hAnsi="Aptos"/>
                <w:lang w:val="de-DE"/>
              </w:rPr>
            </w:pPr>
            <w:r>
              <w:rPr>
                <w:rFonts w:ascii="Aptos" w:hAnsi="Aptos"/>
                <w:b/>
                <w:bCs/>
                <w:color w:val="000000"/>
              </w:rPr>
              <w:t>Titre et description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85DA9" w14:textId="0743C4A3" w:rsidR="00CF4A70" w:rsidRPr="00051F12" w:rsidRDefault="00CF4A70" w:rsidP="00CF4A70">
            <w:pPr>
              <w:spacing w:after="40"/>
              <w:rPr>
                <w:rFonts w:ascii="Aptos" w:hAnsi="Aptos"/>
                <w:lang w:val="de-DE"/>
              </w:rPr>
            </w:pPr>
            <w:r>
              <w:rPr>
                <w:rFonts w:ascii="Aptos" w:hAnsi="Aptos"/>
                <w:b/>
                <w:bCs/>
                <w:color w:val="000000"/>
              </w:rPr>
              <w:t>Matériel</w:t>
            </w:r>
          </w:p>
        </w:tc>
        <w:tc>
          <w:tcPr>
            <w:tcW w:w="7229" w:type="dxa"/>
            <w:tcBorders>
              <w:top w:val="single" w:sz="4" w:space="0" w:color="000000"/>
              <w:left w:val="single" w:sz="4" w:space="0" w:color="000000"/>
              <w:bottom w:val="single" w:sz="4" w:space="0" w:color="000000"/>
              <w:right w:val="single" w:sz="4" w:space="0" w:color="000000"/>
            </w:tcBorders>
          </w:tcPr>
          <w:p w14:paraId="410E2B49" w14:textId="706711D3" w:rsidR="00CF4A70" w:rsidRPr="00051F12" w:rsidRDefault="00CF4A70" w:rsidP="00CF4A70">
            <w:pPr>
              <w:spacing w:after="40"/>
              <w:rPr>
                <w:rFonts w:ascii="Aptos" w:hAnsi="Aptos"/>
                <w:b/>
                <w:bCs/>
                <w:lang w:val="de-DE"/>
              </w:rPr>
            </w:pPr>
            <w:r>
              <w:rPr>
                <w:rFonts w:ascii="Aptos" w:hAnsi="Aptos"/>
                <w:b/>
                <w:bCs/>
                <w:color w:val="000000"/>
              </w:rPr>
              <w:t>Instructions et objectifs pour le formateur</w:t>
            </w:r>
          </w:p>
        </w:tc>
      </w:tr>
      <w:tr w:rsidR="00CF4A70" w:rsidRPr="00051F12" w14:paraId="630907F5"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A574D" w14:textId="222238CB" w:rsidR="00CF4A70" w:rsidRPr="00051F12" w:rsidRDefault="00CF4A70" w:rsidP="00CF4A70">
            <w:pPr>
              <w:spacing w:after="40"/>
              <w:rPr>
                <w:rFonts w:ascii="Aptos" w:hAnsi="Aptos"/>
                <w:lang w:val="de-DE"/>
              </w:rPr>
            </w:pPr>
            <w:r>
              <w:rPr>
                <w:rFonts w:ascii="Aptos" w:hAnsi="Aptos"/>
                <w:color w:val="000000"/>
              </w:rPr>
              <w:t>2 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72DAE" w14:textId="77777777" w:rsidR="00CF4A70" w:rsidRDefault="00CF4A70" w:rsidP="00CF4A70">
            <w:pPr>
              <w:pStyle w:val="StandardWeb"/>
              <w:spacing w:before="0" w:beforeAutospacing="0" w:after="40" w:afterAutospacing="0"/>
            </w:pPr>
            <w:r>
              <w:rPr>
                <w:rFonts w:ascii="Aptos" w:hAnsi="Aptos"/>
                <w:b/>
                <w:bCs/>
                <w:color w:val="000000"/>
                <w:sz w:val="22"/>
                <w:szCs w:val="22"/>
              </w:rPr>
              <w:t>Planification et mise en œuvre des achats durables</w:t>
            </w:r>
          </w:p>
          <w:p w14:paraId="4650436D" w14:textId="77777777" w:rsidR="00CF4A70" w:rsidRDefault="00CF4A70" w:rsidP="00CF4A70">
            <w:pPr>
              <w:pStyle w:val="StandardWeb"/>
              <w:numPr>
                <w:ilvl w:val="0"/>
                <w:numId w:val="3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Étapes de mise en œuvre</w:t>
            </w:r>
          </w:p>
          <w:p w14:paraId="103796ED" w14:textId="77777777" w:rsidR="00CF4A70" w:rsidRDefault="00CF4A70" w:rsidP="00CF4A70">
            <w:pPr>
              <w:pStyle w:val="StandardWeb"/>
              <w:numPr>
                <w:ilvl w:val="0"/>
                <w:numId w:val="3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Outils et modèles – ce qui existe</w:t>
            </w:r>
          </w:p>
          <w:p w14:paraId="3FA5ABE8" w14:textId="77777777" w:rsidR="00CF4A70" w:rsidRDefault="00CF4A70" w:rsidP="00CF4A70">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Sources pour les critères</w:t>
            </w:r>
          </w:p>
          <w:p w14:paraId="51C0CAC2" w14:textId="77777777" w:rsidR="00CF4A70" w:rsidRDefault="00CF4A70" w:rsidP="00CF4A70">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Modèles de clauses d'appel d'offres</w:t>
            </w:r>
          </w:p>
          <w:p w14:paraId="6C2F4865" w14:textId="77777777" w:rsidR="00CF4A70" w:rsidRDefault="00CF4A70" w:rsidP="00CF4A70">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Questionnaires destinés aux fournisseurs</w:t>
            </w:r>
          </w:p>
          <w:p w14:paraId="43C87F9C" w14:textId="6CF93550" w:rsidR="00CF4A70" w:rsidRPr="00051F12" w:rsidRDefault="00CF4A70" w:rsidP="00CF4A70">
            <w:pPr>
              <w:numPr>
                <w:ilvl w:val="0"/>
                <w:numId w:val="12"/>
              </w:numPr>
              <w:spacing w:after="40"/>
              <w:rPr>
                <w:rFonts w:ascii="Aptos" w:hAnsi="Aptos"/>
                <w:lang w:val="de-DE"/>
              </w:rPr>
            </w:pPr>
            <w:r>
              <w:rPr>
                <w:rFonts w:ascii="Aptos" w:hAnsi="Aptos"/>
                <w:color w:val="000000"/>
              </w:rPr>
              <w:t xml:space="preserve">Exercice </w:t>
            </w:r>
            <w:proofErr w:type="gramStart"/>
            <w:r>
              <w:rPr>
                <w:rFonts w:ascii="Aptos" w:hAnsi="Aptos"/>
                <w:color w:val="000000"/>
              </w:rPr>
              <w:t>pratique :</w:t>
            </w:r>
            <w:proofErr w:type="gramEnd"/>
            <w:r>
              <w:rPr>
                <w:rFonts w:ascii="Aptos" w:hAnsi="Aptos"/>
                <w:color w:val="000000"/>
              </w:rPr>
              <w:t xml:space="preserve"> Élaboration de critères de durabilité</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22B1C" w14:textId="77777777" w:rsidR="00CF4A70" w:rsidRDefault="00CF4A70" w:rsidP="00CF4A70">
            <w:pPr>
              <w:pStyle w:val="StandardWeb"/>
              <w:spacing w:before="0" w:beforeAutospacing="0" w:after="40" w:afterAutospacing="0"/>
            </w:pPr>
            <w:r>
              <w:rPr>
                <w:rFonts w:ascii="Aptos" w:hAnsi="Aptos"/>
                <w:color w:val="000000"/>
                <w:sz w:val="22"/>
                <w:szCs w:val="22"/>
              </w:rPr>
              <w:t>2_1_Présentation – Planification et mise en œuvre des achats durables</w:t>
            </w:r>
          </w:p>
          <w:p w14:paraId="586A4CDF" w14:textId="68BCA96F" w:rsidR="00CF4A70" w:rsidRPr="00051F12" w:rsidRDefault="00CF4A70" w:rsidP="00CF4A70">
            <w:pPr>
              <w:spacing w:after="40"/>
              <w:rPr>
                <w:rFonts w:ascii="Aptos" w:hAnsi="Aptos"/>
                <w:lang w:val="de-DE"/>
              </w:rPr>
            </w:pPr>
            <w:r>
              <w:rPr>
                <w:rFonts w:ascii="Aptos" w:hAnsi="Aptos"/>
                <w:color w:val="000000"/>
              </w:rPr>
              <w:t>2_2_Exercice – Planification et mise en œuvre des achats durables</w:t>
            </w:r>
          </w:p>
        </w:tc>
        <w:tc>
          <w:tcPr>
            <w:tcW w:w="7229" w:type="dxa"/>
            <w:tcBorders>
              <w:top w:val="single" w:sz="4" w:space="0" w:color="000000"/>
              <w:left w:val="single" w:sz="4" w:space="0" w:color="000000"/>
              <w:bottom w:val="single" w:sz="4" w:space="0" w:color="000000"/>
              <w:right w:val="single" w:sz="4" w:space="0" w:color="000000"/>
            </w:tcBorders>
          </w:tcPr>
          <w:p w14:paraId="76AE5986" w14:textId="77777777" w:rsidR="00CF4A70" w:rsidRDefault="00CF4A70" w:rsidP="00CF4A70">
            <w:pPr>
              <w:pStyle w:val="StandardWeb"/>
              <w:spacing w:before="0" w:beforeAutospacing="0" w:after="40" w:afterAutospacing="0"/>
            </w:pPr>
            <w:r>
              <w:rPr>
                <w:rFonts w:ascii="Aptos" w:hAnsi="Aptos"/>
                <w:i/>
                <w:iCs/>
                <w:color w:val="000000"/>
                <w:sz w:val="22"/>
                <w:szCs w:val="22"/>
              </w:rPr>
              <w:t>Cette session porte sur la manière de lancer, planifier et mettre en œuvre des achats durables. Après une présentation des différentes étapes de la mise en œuvre et des outils d'aide existants, un exercice pratique est proposé pour apprendre à identifier les priorités en matière d'achats, sélectionner des groupes de produits et élaborer des critères de durabilité.</w:t>
            </w:r>
          </w:p>
          <w:p w14:paraId="19AD5667"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29D8767A" w14:textId="77777777" w:rsidR="00CF4A70" w:rsidRDefault="00CF4A70" w:rsidP="00CF4A70">
            <w:pPr>
              <w:pStyle w:val="StandardWeb"/>
              <w:numPr>
                <w:ilvl w:val="0"/>
                <w:numId w:val="3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Permettre aux participants de bien comprendre comment planifier et mettre en œuvre des achats durables au sein de leur organisation.</w:t>
            </w:r>
          </w:p>
          <w:p w14:paraId="7045DD9D" w14:textId="77777777" w:rsidR="00CF4A70" w:rsidRDefault="00CF4A70" w:rsidP="00CF4A70">
            <w:pPr>
              <w:pStyle w:val="StandardWeb"/>
              <w:numPr>
                <w:ilvl w:val="0"/>
                <w:numId w:val="3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Familiariser les participants avec les outils pratiques et les modèles, et leur apprendre à les utiliser efficacement.</w:t>
            </w:r>
          </w:p>
          <w:p w14:paraId="4C8230F7" w14:textId="4353D230" w:rsidR="00CF4A70" w:rsidRPr="00051F12" w:rsidRDefault="00CF4A70" w:rsidP="00CF4A70">
            <w:pPr>
              <w:pStyle w:val="Listenabsatz"/>
              <w:numPr>
                <w:ilvl w:val="0"/>
                <w:numId w:val="22"/>
              </w:numPr>
              <w:spacing w:after="40"/>
              <w:ind w:left="360"/>
              <w:rPr>
                <w:rFonts w:ascii="Aptos" w:hAnsi="Aptos"/>
                <w:lang w:val="de-DE"/>
              </w:rPr>
            </w:pPr>
            <w:r>
              <w:rPr>
                <w:rFonts w:ascii="Aptos" w:hAnsi="Aptos"/>
                <w:color w:val="000000"/>
              </w:rPr>
              <w:t>Permettre aux participants d'élaborer et d'appliquer des critères de durabilité, en renforçant leur capacité à traduire la stratégie en exigences d'appel d'offres concrètes.</w:t>
            </w:r>
          </w:p>
        </w:tc>
      </w:tr>
      <w:tr w:rsidR="00CF4A70" w:rsidRPr="00051F12" w14:paraId="07927FE9"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33D55" w14:textId="550CB6CC" w:rsidR="00CF4A70" w:rsidRPr="00051F12" w:rsidRDefault="00CF4A70" w:rsidP="00CF4A70">
            <w:pPr>
              <w:spacing w:after="40"/>
              <w:rPr>
                <w:rFonts w:ascii="Aptos" w:hAnsi="Aptos"/>
                <w:highlight w:val="yellow"/>
                <w:lang w:val="de-DE"/>
              </w:rPr>
            </w:pPr>
            <w:r>
              <w:rPr>
                <w:rFonts w:ascii="Aptos" w:hAnsi="Aptos"/>
                <w:color w:val="000000"/>
              </w:rPr>
              <w:t>2 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C224C" w14:textId="77777777" w:rsidR="00CF4A70" w:rsidRDefault="00CF4A70" w:rsidP="00CF4A70">
            <w:pPr>
              <w:pStyle w:val="StandardWeb"/>
              <w:spacing w:before="0" w:beforeAutospacing="0" w:after="40" w:afterAutospacing="0"/>
            </w:pPr>
            <w:r>
              <w:rPr>
                <w:rFonts w:ascii="Aptos" w:hAnsi="Aptos"/>
                <w:b/>
                <w:bCs/>
                <w:color w:val="000000"/>
                <w:sz w:val="22"/>
                <w:szCs w:val="22"/>
              </w:rPr>
              <w:t>Atelier pratique</w:t>
            </w:r>
          </w:p>
          <w:p w14:paraId="5F6EC6AB" w14:textId="29CCA4B6" w:rsidR="00CF4A70" w:rsidRPr="00051F12" w:rsidRDefault="00CF4A70" w:rsidP="00CF4A70">
            <w:pPr>
              <w:spacing w:after="40"/>
              <w:rPr>
                <w:rFonts w:ascii="Aptos" w:hAnsi="Aptos"/>
                <w:b/>
                <w:bCs/>
                <w:lang w:val="de-DE"/>
              </w:rPr>
            </w:pPr>
            <w:r>
              <w:rPr>
                <w:rFonts w:ascii="Aptos" w:hAnsi="Aptos"/>
                <w:color w:val="000000"/>
              </w:rPr>
              <w:t xml:space="preserve">Travail en petits </w:t>
            </w:r>
            <w:proofErr w:type="gramStart"/>
            <w:r>
              <w:rPr>
                <w:rFonts w:ascii="Aptos" w:hAnsi="Aptos"/>
                <w:color w:val="000000"/>
              </w:rPr>
              <w:t>groupes :</w:t>
            </w:r>
            <w:proofErr w:type="gramEnd"/>
            <w:r>
              <w:rPr>
                <w:rFonts w:ascii="Aptos" w:hAnsi="Aptos"/>
                <w:color w:val="000000"/>
              </w:rPr>
              <w:t xml:space="preserve"> réviser et évaluer des documents d'appel d'offres en tenant compte de la durabilité</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393D1" w14:textId="77777777" w:rsidR="00CF4A70" w:rsidRDefault="00CF4A70" w:rsidP="00CF4A70">
            <w:pPr>
              <w:pStyle w:val="StandardWeb"/>
              <w:spacing w:before="0" w:beforeAutospacing="0" w:after="40" w:afterAutospacing="0"/>
            </w:pPr>
            <w:r>
              <w:rPr>
                <w:rFonts w:ascii="Aptos" w:hAnsi="Aptos"/>
                <w:color w:val="000000"/>
                <w:sz w:val="22"/>
                <w:szCs w:val="22"/>
              </w:rPr>
              <w:t>2_3_Exercice – Modèle de papier à photocopie pour appel d'offres</w:t>
            </w:r>
          </w:p>
          <w:p w14:paraId="37C87154" w14:textId="7D0A7CBC" w:rsidR="00CF4A70" w:rsidRPr="00051F12" w:rsidRDefault="00CF4A70" w:rsidP="00CF4A70">
            <w:pPr>
              <w:spacing w:after="40"/>
              <w:rPr>
                <w:rFonts w:ascii="Aptos" w:hAnsi="Aptos"/>
                <w:lang w:val="de-DE"/>
              </w:rPr>
            </w:pPr>
            <w:r>
              <w:rPr>
                <w:rFonts w:ascii="Aptos" w:hAnsi="Aptos"/>
                <w:color w:val="000000"/>
              </w:rPr>
              <w:t>2_3.1_Exercice_Solutions suggérées_Modèle d'appel d'offres pour du papier à photocopie</w:t>
            </w:r>
          </w:p>
        </w:tc>
        <w:tc>
          <w:tcPr>
            <w:tcW w:w="7229" w:type="dxa"/>
            <w:tcBorders>
              <w:top w:val="single" w:sz="4" w:space="0" w:color="000000"/>
              <w:left w:val="single" w:sz="4" w:space="0" w:color="000000"/>
              <w:bottom w:val="single" w:sz="4" w:space="0" w:color="000000"/>
              <w:right w:val="single" w:sz="4" w:space="0" w:color="000000"/>
            </w:tcBorders>
          </w:tcPr>
          <w:p w14:paraId="00DAE0EA" w14:textId="77777777" w:rsidR="00CF4A70" w:rsidRDefault="00CF4A70" w:rsidP="00CF4A70">
            <w:pPr>
              <w:pStyle w:val="StandardWeb"/>
              <w:spacing w:before="0" w:beforeAutospacing="0" w:after="40" w:afterAutospacing="0"/>
            </w:pPr>
            <w:r>
              <w:rPr>
                <w:rFonts w:ascii="Aptos" w:hAnsi="Aptos"/>
                <w:i/>
                <w:iCs/>
                <w:color w:val="000000"/>
                <w:sz w:val="22"/>
                <w:szCs w:val="22"/>
              </w:rPr>
              <w:t>Les participants sont répartis en groupes et doivent travailler sur un appel d'offres pour du papier à photocopie. Les documents d'appel d'offres ne mentionnent pas de critères de durabilité. Les groupes doivent rechercher et proposer des critères de durabilité pour les différentes étapes de la procédure de passation de marché. On peut leur fournir un lien vers des critères de durabilité pour le papier à photocopie ou un véritable appel d'offres provenant d'un pays où des critères de durabilité sont inclus. Le document 2_3.1 contenant les solutions est destiné au formateur et peut être distribué aux participants par la suite</w:t>
            </w:r>
            <w:r>
              <w:rPr>
                <w:rFonts w:ascii="Aptos" w:hAnsi="Aptos"/>
                <w:color w:val="000000"/>
                <w:sz w:val="22"/>
                <w:szCs w:val="22"/>
              </w:rPr>
              <w:t>.</w:t>
            </w:r>
          </w:p>
          <w:p w14:paraId="67F31DD0"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 xml:space="preserve">Objectifs </w:t>
            </w:r>
            <w:r>
              <w:rPr>
                <w:rFonts w:ascii="Aptos" w:hAnsi="Aptos"/>
                <w:color w:val="000000"/>
                <w:sz w:val="22"/>
                <w:szCs w:val="22"/>
              </w:rPr>
              <w:t>:</w:t>
            </w:r>
            <w:proofErr w:type="gramEnd"/>
          </w:p>
          <w:p w14:paraId="74CBA63A" w14:textId="77777777" w:rsidR="00CF4A70" w:rsidRDefault="00CF4A70" w:rsidP="00CF4A70">
            <w:pPr>
              <w:pStyle w:val="StandardWeb"/>
              <w:numPr>
                <w:ilvl w:val="0"/>
                <w:numId w:val="40"/>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lastRenderedPageBreak/>
              <w:t>Permettre aux participants de rechercher, de sélectionner et de justifier des critères environnementaux et sociaux appropriés pour un groupe de produits spécifique, en utilisant les conseils disponibles et des exemples concrets.</w:t>
            </w:r>
          </w:p>
          <w:p w14:paraId="514CF7A7" w14:textId="43B4F96E" w:rsidR="00CF4A70" w:rsidRPr="00051F12" w:rsidRDefault="00CF4A70" w:rsidP="00CF4A70">
            <w:pPr>
              <w:pStyle w:val="Listenabsatz"/>
              <w:numPr>
                <w:ilvl w:val="0"/>
                <w:numId w:val="23"/>
              </w:numPr>
              <w:spacing w:after="40"/>
              <w:ind w:left="360"/>
              <w:rPr>
                <w:rFonts w:ascii="Aptos" w:hAnsi="Aptos"/>
                <w:lang w:val="de-DE"/>
              </w:rPr>
            </w:pPr>
            <w:r>
              <w:rPr>
                <w:rFonts w:ascii="Aptos" w:hAnsi="Aptos"/>
                <w:color w:val="000000"/>
              </w:rPr>
              <w:t xml:space="preserve">Favoriser l'apprentissage entre pairs et la réflexion par le travail en groupe et la comparaison avec des </w:t>
            </w:r>
            <w:proofErr w:type="gramStart"/>
            <w:r>
              <w:rPr>
                <w:rFonts w:ascii="Aptos" w:hAnsi="Aptos"/>
                <w:color w:val="000000"/>
              </w:rPr>
              <w:t>solutions</w:t>
            </w:r>
            <w:proofErr w:type="gramEnd"/>
            <w:r>
              <w:rPr>
                <w:rFonts w:ascii="Aptos" w:hAnsi="Aptos"/>
                <w:color w:val="000000"/>
              </w:rPr>
              <w:t xml:space="preserve"> types.</w:t>
            </w:r>
          </w:p>
        </w:tc>
      </w:tr>
      <w:tr w:rsidR="00CF4A70" w:rsidRPr="00051F12" w14:paraId="490A2101"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1CD56" w14:textId="5930453C" w:rsidR="00CF4A70" w:rsidRPr="00051F12" w:rsidRDefault="00CF4A70" w:rsidP="00CF4A70">
            <w:pPr>
              <w:spacing w:after="40"/>
              <w:rPr>
                <w:rFonts w:ascii="Aptos" w:hAnsi="Aptos"/>
                <w:highlight w:val="yellow"/>
                <w:lang w:val="de-DE"/>
              </w:rPr>
            </w:pPr>
            <w:r>
              <w:rPr>
                <w:rFonts w:ascii="Aptos" w:hAnsi="Aptos"/>
                <w:color w:val="000000"/>
              </w:rPr>
              <w:lastRenderedPageBreak/>
              <w:t>2 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89244" w14:textId="77777777" w:rsidR="00CF4A70" w:rsidRDefault="00CF4A70" w:rsidP="00CF4A70">
            <w:pPr>
              <w:pStyle w:val="StandardWeb"/>
              <w:spacing w:before="0" w:beforeAutospacing="0" w:after="40" w:afterAutospacing="0"/>
            </w:pPr>
            <w:r>
              <w:rPr>
                <w:rFonts w:ascii="Aptos" w:hAnsi="Aptos"/>
                <w:b/>
                <w:bCs/>
                <w:color w:val="000000"/>
                <w:sz w:val="22"/>
                <w:szCs w:val="22"/>
              </w:rPr>
              <w:t>Études de cas locales / Partage entre pairs</w:t>
            </w:r>
          </w:p>
          <w:p w14:paraId="3670257A" w14:textId="77777777" w:rsidR="00CF4A70" w:rsidRDefault="00CF4A70" w:rsidP="00CF4A70">
            <w:pPr>
              <w:pStyle w:val="StandardWeb"/>
              <w:numPr>
                <w:ilvl w:val="0"/>
                <w:numId w:val="4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Exemples de réussite dans des petites communes similaires</w:t>
            </w:r>
          </w:p>
          <w:p w14:paraId="727A4A41" w14:textId="075A8CF2" w:rsidR="00CF4A70" w:rsidRPr="00051F12" w:rsidRDefault="00CF4A70" w:rsidP="00CF4A70">
            <w:pPr>
              <w:numPr>
                <w:ilvl w:val="0"/>
                <w:numId w:val="14"/>
              </w:numPr>
              <w:spacing w:after="40"/>
              <w:rPr>
                <w:rFonts w:ascii="Aptos" w:hAnsi="Aptos"/>
                <w:lang w:val="de-DE"/>
              </w:rPr>
            </w:pPr>
            <w:r>
              <w:rPr>
                <w:rFonts w:ascii="Aptos" w:hAnsi="Aptos"/>
                <w:color w:val="000000"/>
              </w:rPr>
              <w:t>Pièges à éviter</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A0824" w14:textId="77777777" w:rsidR="00CF4A70" w:rsidRDefault="00CF4A70" w:rsidP="00CF4A70">
            <w:pPr>
              <w:pStyle w:val="StandardWeb"/>
              <w:spacing w:before="0" w:beforeAutospacing="0" w:after="40" w:afterAutospacing="0"/>
            </w:pPr>
            <w:r>
              <w:rPr>
                <w:rFonts w:ascii="Aptos" w:hAnsi="Aptos"/>
                <w:color w:val="000000"/>
                <w:sz w:val="22"/>
                <w:szCs w:val="22"/>
              </w:rPr>
              <w:t>2_4_Présentation – Études de cas locales – Partage entre pairs</w:t>
            </w:r>
          </w:p>
          <w:p w14:paraId="313D1C9B" w14:textId="62F72292" w:rsidR="00CF4A70" w:rsidRPr="00051F12" w:rsidRDefault="00CF4A70" w:rsidP="00CF4A70">
            <w:pPr>
              <w:spacing w:after="40"/>
              <w:rPr>
                <w:rFonts w:ascii="Aptos" w:hAnsi="Aptos"/>
                <w:lang w:val="de-DE"/>
              </w:rPr>
            </w:pPr>
            <w:r>
              <w:rPr>
                <w:rFonts w:ascii="Aptos" w:hAnsi="Aptos"/>
                <w:color w:val="000000"/>
              </w:rPr>
              <w:t>2_5_Exercice – Études de cas locales – Partage entre pairs</w:t>
            </w:r>
          </w:p>
        </w:tc>
        <w:tc>
          <w:tcPr>
            <w:tcW w:w="7229" w:type="dxa"/>
            <w:tcBorders>
              <w:top w:val="single" w:sz="4" w:space="0" w:color="000000"/>
              <w:left w:val="single" w:sz="4" w:space="0" w:color="000000"/>
              <w:bottom w:val="single" w:sz="4" w:space="0" w:color="000000"/>
              <w:right w:val="single" w:sz="4" w:space="0" w:color="000000"/>
            </w:tcBorders>
          </w:tcPr>
          <w:p w14:paraId="25FE9CBB" w14:textId="77777777" w:rsidR="00CF4A70" w:rsidRDefault="00CF4A70" w:rsidP="00CF4A70">
            <w:pPr>
              <w:pStyle w:val="StandardWeb"/>
              <w:spacing w:before="0" w:beforeAutospacing="0" w:after="160" w:afterAutospacing="0"/>
            </w:pPr>
            <w:r>
              <w:rPr>
                <w:rFonts w:ascii="Aptos" w:hAnsi="Aptos"/>
                <w:i/>
                <w:iCs/>
                <w:color w:val="000000"/>
                <w:sz w:val="22"/>
                <w:szCs w:val="22"/>
              </w:rPr>
              <w:t xml:space="preserve">Présentez quelques exemples de bonnes pratiques à l'aide d'une présentation ou d'un poster. Vous pouvez également choisir d'autres études de cas issues de votre réseau. Répartissez ensuite les participants en groupes, distribuez les études de cas et demandez-leur d'en discuter et de répondre à des questions telles </w:t>
            </w:r>
            <w:proofErr w:type="gramStart"/>
            <w:r>
              <w:rPr>
                <w:rFonts w:ascii="Aptos" w:hAnsi="Aptos"/>
                <w:i/>
                <w:iCs/>
                <w:color w:val="000000"/>
                <w:sz w:val="22"/>
                <w:szCs w:val="22"/>
              </w:rPr>
              <w:t>que :</w:t>
            </w:r>
            <w:proofErr w:type="gramEnd"/>
            <w:r>
              <w:rPr>
                <w:rFonts w:ascii="Aptos" w:hAnsi="Aptos"/>
                <w:i/>
                <w:iCs/>
                <w:color w:val="000000"/>
                <w:sz w:val="22"/>
                <w:szCs w:val="22"/>
              </w:rPr>
              <w:t xml:space="preserve"> Selon vous, quel a été le facteur décisif de la </w:t>
            </w:r>
            <w:proofErr w:type="gramStart"/>
            <w:r>
              <w:rPr>
                <w:rFonts w:ascii="Aptos" w:hAnsi="Aptos"/>
                <w:i/>
                <w:iCs/>
                <w:color w:val="000000"/>
                <w:sz w:val="22"/>
                <w:szCs w:val="22"/>
              </w:rPr>
              <w:t>réussite ?</w:t>
            </w:r>
            <w:proofErr w:type="gramEnd"/>
            <w:r>
              <w:rPr>
                <w:rFonts w:ascii="Aptos" w:hAnsi="Aptos"/>
                <w:i/>
                <w:iCs/>
                <w:color w:val="000000"/>
                <w:sz w:val="22"/>
                <w:szCs w:val="22"/>
              </w:rPr>
              <w:t xml:space="preserve"> Quels sont les pièges à </w:t>
            </w:r>
            <w:proofErr w:type="gramStart"/>
            <w:r>
              <w:rPr>
                <w:rFonts w:ascii="Aptos" w:hAnsi="Aptos"/>
                <w:i/>
                <w:iCs/>
                <w:color w:val="000000"/>
                <w:sz w:val="22"/>
                <w:szCs w:val="22"/>
              </w:rPr>
              <w:t>éviter ?</w:t>
            </w:r>
            <w:proofErr w:type="gramEnd"/>
            <w:r>
              <w:rPr>
                <w:rFonts w:ascii="Aptos" w:hAnsi="Aptos"/>
                <w:i/>
                <w:iCs/>
                <w:color w:val="000000"/>
                <w:sz w:val="22"/>
                <w:szCs w:val="22"/>
              </w:rPr>
              <w:t xml:space="preserve"> Où se situeraient les difficultés dans votre commune par rapport à ces bonnes pratiques, </w:t>
            </w:r>
            <w:proofErr w:type="gramStart"/>
            <w:r>
              <w:rPr>
                <w:rFonts w:ascii="Aptos" w:hAnsi="Aptos"/>
                <w:i/>
                <w:iCs/>
                <w:color w:val="000000"/>
                <w:sz w:val="22"/>
                <w:szCs w:val="22"/>
              </w:rPr>
              <w:t>etc. ?</w:t>
            </w:r>
            <w:proofErr w:type="gramEnd"/>
          </w:p>
          <w:p w14:paraId="33CF6A6E" w14:textId="77777777" w:rsidR="00CF4A70" w:rsidRDefault="00CF4A70" w:rsidP="00CF4A70">
            <w:pPr>
              <w:pStyle w:val="StandardWeb"/>
              <w:spacing w:before="0" w:beforeAutospacing="0" w:after="160" w:afterAutospacing="0"/>
            </w:pPr>
            <w:proofErr w:type="gramStart"/>
            <w:r>
              <w:rPr>
                <w:rFonts w:ascii="Aptos" w:hAnsi="Aptos"/>
                <w:b/>
                <w:bCs/>
                <w:color w:val="000000"/>
                <w:sz w:val="22"/>
                <w:szCs w:val="22"/>
              </w:rPr>
              <w:t>Objectifs :</w:t>
            </w:r>
            <w:proofErr w:type="gramEnd"/>
          </w:p>
          <w:p w14:paraId="3732D627" w14:textId="77777777" w:rsidR="00CF4A70" w:rsidRDefault="00CF4A70" w:rsidP="00CF4A70">
            <w:pPr>
              <w:pStyle w:val="StandardWeb"/>
              <w:numPr>
                <w:ilvl w:val="0"/>
                <w:numId w:val="42"/>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Identifier les facteurs clés de réussite et les pièges courants en analysant des études de cas concrets et en réfléchissant à ce qui a favorisé ou entravé la mise en œuvre.</w:t>
            </w:r>
          </w:p>
          <w:p w14:paraId="77ADE90A" w14:textId="344E67FE" w:rsidR="00CF4A70" w:rsidRPr="00051F12" w:rsidRDefault="00CF4A70" w:rsidP="00CF4A70">
            <w:pPr>
              <w:pStyle w:val="Listenabsatz"/>
              <w:numPr>
                <w:ilvl w:val="0"/>
                <w:numId w:val="23"/>
              </w:numPr>
              <w:pBdr>
                <w:top w:val="nil"/>
                <w:left w:val="nil"/>
                <w:bottom w:val="nil"/>
                <w:right w:val="nil"/>
                <w:between w:val="nil"/>
              </w:pBdr>
              <w:spacing w:after="40"/>
              <w:ind w:left="360"/>
              <w:rPr>
                <w:rFonts w:ascii="Aptos" w:eastAsia="Times New Roman" w:hAnsi="Aptos" w:cs="Times New Roman"/>
                <w:color w:val="000000"/>
                <w:lang w:val="de-DE"/>
              </w:rPr>
            </w:pPr>
            <w:r>
              <w:rPr>
                <w:rFonts w:ascii="Aptos" w:hAnsi="Aptos"/>
                <w:color w:val="000000"/>
              </w:rPr>
              <w:t>Encourager l'apprentissage entre pairs et la contextualisation en discutant de la manière dont les enseignements tirés peuvent être transposés dans les propres communes des participants, y compris les défis potentiels et les besoins d'adaptation.</w:t>
            </w:r>
          </w:p>
        </w:tc>
      </w:tr>
    </w:tbl>
    <w:p w14:paraId="41CCCEEF" w14:textId="77777777" w:rsidR="005B036F" w:rsidRDefault="005B036F" w:rsidP="00A03BA3">
      <w:pPr>
        <w:pStyle w:val="berschrift3"/>
        <w:rPr>
          <w:lang w:val="de-DE"/>
        </w:rPr>
      </w:pPr>
    </w:p>
    <w:p w14:paraId="46697A9E" w14:textId="77777777" w:rsidR="005B036F" w:rsidRDefault="005B036F">
      <w:pPr>
        <w:spacing w:after="0" w:line="240" w:lineRule="auto"/>
        <w:rPr>
          <w:rFonts w:eastAsiaTheme="majorEastAsia" w:cstheme="majorBidi"/>
          <w:color w:val="0F4761" w:themeColor="accent1" w:themeShade="BF"/>
          <w:sz w:val="28"/>
          <w:szCs w:val="28"/>
          <w:lang w:val="de-DE"/>
        </w:rPr>
      </w:pPr>
      <w:r>
        <w:rPr>
          <w:lang w:val="de-DE"/>
        </w:rPr>
        <w:br w:type="page"/>
      </w:r>
    </w:p>
    <w:p w14:paraId="503B18C2" w14:textId="1AA993F8" w:rsidR="00D118F5" w:rsidRPr="00CF4A70" w:rsidRDefault="00CF4A70" w:rsidP="00A03BA3">
      <w:pPr>
        <w:pStyle w:val="berschrift3"/>
        <w:rPr>
          <w:rFonts w:ascii="Aptos" w:hAnsi="Aptos"/>
          <w:lang w:val="de-DE"/>
        </w:rPr>
      </w:pPr>
      <w:r w:rsidRPr="00CF4A70">
        <w:rPr>
          <w:rFonts w:ascii="Aptos" w:hAnsi="Aptos" w:cs="Calibri"/>
          <w:color w:val="0F4761"/>
        </w:rPr>
        <w:lastRenderedPageBreak/>
        <w:t>Jour 3 – Pratique</w:t>
      </w:r>
    </w:p>
    <w:tbl>
      <w:tblPr>
        <w:tblW w:w="13887" w:type="dxa"/>
        <w:tblLayout w:type="fixed"/>
        <w:tblLook w:val="0400" w:firstRow="0" w:lastRow="0" w:firstColumn="0" w:lastColumn="0" w:noHBand="0" w:noVBand="1"/>
      </w:tblPr>
      <w:tblGrid>
        <w:gridCol w:w="1021"/>
        <w:gridCol w:w="3085"/>
        <w:gridCol w:w="2552"/>
        <w:gridCol w:w="7229"/>
      </w:tblGrid>
      <w:tr w:rsidR="00CF4A70" w:rsidRPr="00051F12" w14:paraId="7E5ABDED" w14:textId="77777777" w:rsidTr="00932E4A">
        <w:trPr>
          <w:trHeight w:val="295"/>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1B1E2" w14:textId="43FB31C2" w:rsidR="00CF4A70" w:rsidRPr="00051F12" w:rsidRDefault="00CF4A70" w:rsidP="00CF4A70">
            <w:pPr>
              <w:spacing w:after="40"/>
              <w:rPr>
                <w:rFonts w:ascii="Aptos" w:hAnsi="Aptos"/>
                <w:b/>
                <w:bCs/>
                <w:lang w:val="de-DE"/>
              </w:rPr>
            </w:pPr>
            <w:r>
              <w:rPr>
                <w:rFonts w:ascii="Aptos" w:hAnsi="Aptos"/>
                <w:b/>
                <w:bCs/>
                <w:color w:val="000000"/>
              </w:rPr>
              <w:t>Heure</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D1B1" w14:textId="14662E3D" w:rsidR="00CF4A70" w:rsidRPr="00051F12" w:rsidRDefault="00CF4A70" w:rsidP="00CF4A70">
            <w:pPr>
              <w:spacing w:after="40"/>
              <w:rPr>
                <w:rFonts w:ascii="Aptos" w:hAnsi="Aptos"/>
                <w:lang w:val="de-DE"/>
              </w:rPr>
            </w:pPr>
            <w:r>
              <w:rPr>
                <w:rFonts w:ascii="Aptos" w:hAnsi="Aptos"/>
                <w:b/>
                <w:bCs/>
                <w:color w:val="000000"/>
              </w:rPr>
              <w:t>Titre et description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63BAE" w14:textId="78A11BB1" w:rsidR="00CF4A70" w:rsidRPr="00051F12" w:rsidRDefault="00CF4A70" w:rsidP="00CF4A70">
            <w:pPr>
              <w:spacing w:after="40"/>
              <w:rPr>
                <w:rFonts w:ascii="Aptos" w:hAnsi="Aptos"/>
                <w:lang w:val="de-DE"/>
              </w:rPr>
            </w:pPr>
            <w:r>
              <w:rPr>
                <w:rFonts w:ascii="Aptos" w:hAnsi="Aptos"/>
                <w:b/>
                <w:bCs/>
                <w:color w:val="000000"/>
              </w:rPr>
              <w:t>Matériel</w:t>
            </w:r>
          </w:p>
        </w:tc>
        <w:tc>
          <w:tcPr>
            <w:tcW w:w="7229" w:type="dxa"/>
            <w:tcBorders>
              <w:top w:val="single" w:sz="4" w:space="0" w:color="000000"/>
              <w:left w:val="single" w:sz="4" w:space="0" w:color="000000"/>
              <w:bottom w:val="single" w:sz="4" w:space="0" w:color="000000"/>
              <w:right w:val="single" w:sz="4" w:space="0" w:color="000000"/>
            </w:tcBorders>
          </w:tcPr>
          <w:p w14:paraId="225051B1" w14:textId="2054A410" w:rsidR="00CF4A70" w:rsidRPr="00051F12" w:rsidRDefault="00CF4A70" w:rsidP="00CF4A70">
            <w:pPr>
              <w:spacing w:after="40"/>
              <w:rPr>
                <w:rFonts w:ascii="Aptos" w:hAnsi="Aptos"/>
                <w:b/>
                <w:bCs/>
                <w:lang w:val="de-DE"/>
              </w:rPr>
            </w:pPr>
            <w:r>
              <w:rPr>
                <w:rFonts w:ascii="Aptos" w:hAnsi="Aptos"/>
                <w:b/>
                <w:bCs/>
                <w:color w:val="000000"/>
              </w:rPr>
              <w:t>Instructions et objectifs pour le formateur</w:t>
            </w:r>
          </w:p>
        </w:tc>
      </w:tr>
      <w:tr w:rsidR="00CF4A70" w:rsidRPr="00051F12" w14:paraId="4B2693C8"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52A00" w14:textId="6D702C66" w:rsidR="00CF4A70" w:rsidRPr="00051F12" w:rsidRDefault="00CF4A70" w:rsidP="00CF4A70">
            <w:pPr>
              <w:spacing w:after="40"/>
              <w:rPr>
                <w:rFonts w:ascii="Aptos" w:hAnsi="Aptos"/>
                <w:lang w:val="de-DE"/>
              </w:rPr>
            </w:pPr>
            <w:r>
              <w:rPr>
                <w:rFonts w:ascii="Aptos" w:hAnsi="Aptos"/>
                <w:color w:val="000000"/>
              </w:rPr>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33162" w14:textId="77777777" w:rsidR="00CF4A70" w:rsidRDefault="00CF4A70" w:rsidP="00CF4A70">
            <w:pPr>
              <w:pStyle w:val="StandardWeb"/>
              <w:spacing w:before="0" w:beforeAutospacing="0" w:after="40" w:afterAutospacing="0"/>
            </w:pPr>
            <w:r>
              <w:rPr>
                <w:rFonts w:ascii="Aptos" w:hAnsi="Aptos"/>
                <w:b/>
                <w:bCs/>
                <w:color w:val="000000"/>
                <w:sz w:val="22"/>
                <w:szCs w:val="22"/>
              </w:rPr>
              <w:t>Organiser une formation locale</w:t>
            </w:r>
          </w:p>
          <w:p w14:paraId="3C1A52C5" w14:textId="77777777" w:rsidR="00CF4A70" w:rsidRDefault="00CF4A70" w:rsidP="00CF4A70">
            <w:pPr>
              <w:pStyle w:val="StandardWeb"/>
              <w:numPr>
                <w:ilvl w:val="0"/>
                <w:numId w:val="43"/>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Adapter les supports au contexte local</w:t>
            </w:r>
          </w:p>
          <w:p w14:paraId="58E6250F" w14:textId="77777777" w:rsidR="00CF4A70" w:rsidRDefault="00CF4A70" w:rsidP="00CF4A70">
            <w:pPr>
              <w:pStyle w:val="StandardWeb"/>
              <w:numPr>
                <w:ilvl w:val="0"/>
                <w:numId w:val="43"/>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Simplifier les concepts complexes</w:t>
            </w:r>
          </w:p>
          <w:p w14:paraId="2105FB6C" w14:textId="102893F5" w:rsidR="00CF4A70" w:rsidRPr="00051F12" w:rsidRDefault="00CF4A70" w:rsidP="00CF4A70">
            <w:pPr>
              <w:numPr>
                <w:ilvl w:val="0"/>
                <w:numId w:val="2"/>
              </w:numPr>
              <w:spacing w:after="40"/>
              <w:rPr>
                <w:rFonts w:ascii="Aptos" w:hAnsi="Aptos"/>
                <w:lang w:val="de-DE"/>
              </w:rPr>
            </w:pPr>
            <w:r>
              <w:rPr>
                <w:rFonts w:ascii="Aptos" w:hAnsi="Aptos"/>
                <w:color w:val="000000"/>
              </w:rPr>
              <w:t>Encourager le changement de comportement et la collaboration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0D9DE" w14:textId="77777777" w:rsidR="00CF4A70" w:rsidRDefault="00CF4A70" w:rsidP="00CF4A70">
            <w:pPr>
              <w:pStyle w:val="StandardWeb"/>
              <w:spacing w:before="0" w:beforeAutospacing="0" w:after="40" w:afterAutospacing="0"/>
            </w:pPr>
            <w:r>
              <w:rPr>
                <w:rFonts w:ascii="Aptos" w:hAnsi="Aptos"/>
                <w:color w:val="000000"/>
                <w:sz w:val="22"/>
                <w:szCs w:val="22"/>
              </w:rPr>
              <w:t>3_1_Présentation – Dispenser une formation locale</w:t>
            </w:r>
          </w:p>
          <w:p w14:paraId="2190F23E" w14:textId="0435C430" w:rsidR="00CF4A70" w:rsidRPr="00051F12" w:rsidRDefault="00CF4A70" w:rsidP="00CF4A70">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6F742933"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565D81B6" w14:textId="77777777" w:rsidR="00CF4A70" w:rsidRDefault="00CF4A70" w:rsidP="00CF4A70">
            <w:pPr>
              <w:pStyle w:val="StandardWeb"/>
              <w:numPr>
                <w:ilvl w:val="0"/>
                <w:numId w:val="4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Permettre aux participants d'adapter les supports de formation et les exemples à leur contexte municipal spécifique, en garantissant leur pertinence et leur applicabilité pratique.</w:t>
            </w:r>
          </w:p>
          <w:p w14:paraId="5C460A71" w14:textId="77777777" w:rsidR="00CF4A70" w:rsidRDefault="00CF4A70" w:rsidP="00CF4A70">
            <w:pPr>
              <w:pStyle w:val="StandardWeb"/>
              <w:numPr>
                <w:ilvl w:val="0"/>
                <w:numId w:val="4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Renforcer la capacité des participants à simplifier des concepts complexes liés aux marchés publics et au développement durable sans en altérer la précision, afin de les rendre accessibles à divers groupes cibles.</w:t>
            </w:r>
          </w:p>
          <w:p w14:paraId="51D7495F" w14:textId="060B7D67" w:rsidR="00CF4A70" w:rsidRPr="00051F12" w:rsidRDefault="00CF4A70" w:rsidP="00CF4A70">
            <w:pPr>
              <w:pStyle w:val="Listenabsatz"/>
              <w:numPr>
                <w:ilvl w:val="0"/>
                <w:numId w:val="25"/>
              </w:numPr>
              <w:spacing w:after="40"/>
              <w:ind w:left="360"/>
              <w:rPr>
                <w:rFonts w:ascii="Aptos" w:hAnsi="Aptos"/>
                <w:lang w:val="de-DE"/>
              </w:rPr>
            </w:pPr>
            <w:r>
              <w:rPr>
                <w:rFonts w:ascii="Aptos" w:hAnsi="Aptos"/>
                <w:color w:val="000000"/>
              </w:rPr>
              <w:t>Doter les participants de stratégies pour favoriser le changement de comportement, l'engagement et la collaboration interdépartementale lors de la mise en œuvre de sessions de formation locales.</w:t>
            </w:r>
          </w:p>
        </w:tc>
      </w:tr>
      <w:tr w:rsidR="00CF4A70" w:rsidRPr="00051F12" w14:paraId="256259E6"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0186" w14:textId="1CC1F8E3" w:rsidR="00CF4A70" w:rsidRPr="00051F12" w:rsidRDefault="00CF4A70" w:rsidP="00CF4A70">
            <w:pPr>
              <w:spacing w:after="40"/>
              <w:rPr>
                <w:rFonts w:ascii="Aptos" w:hAnsi="Aptos"/>
                <w:highlight w:val="yellow"/>
                <w:lang w:val="de-DE"/>
              </w:rPr>
            </w:pPr>
            <w:r>
              <w:rPr>
                <w:rFonts w:ascii="Aptos" w:hAnsi="Aptos"/>
                <w:color w:val="000000"/>
              </w:rPr>
              <w:t>1 h</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831FC" w14:textId="77777777" w:rsidR="00CF4A70" w:rsidRDefault="00CF4A70" w:rsidP="00CF4A70">
            <w:pPr>
              <w:pStyle w:val="StandardWeb"/>
              <w:spacing w:before="0" w:beforeAutospacing="0" w:after="40" w:afterAutospacing="0"/>
            </w:pPr>
            <w:r>
              <w:rPr>
                <w:rFonts w:ascii="Aptos" w:hAnsi="Aptos"/>
                <w:b/>
                <w:bCs/>
                <w:color w:val="000000"/>
                <w:sz w:val="22"/>
                <w:szCs w:val="22"/>
              </w:rPr>
              <w:t>Suivi et évaluation</w:t>
            </w:r>
          </w:p>
          <w:p w14:paraId="41826045" w14:textId="77777777" w:rsidR="00CF4A70" w:rsidRDefault="00CF4A70" w:rsidP="00CF4A70">
            <w:pPr>
              <w:pStyle w:val="StandardWeb"/>
              <w:numPr>
                <w:ilvl w:val="0"/>
                <w:numId w:val="4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Suivi de la mise en œuvre au niveau local</w:t>
            </w:r>
          </w:p>
          <w:p w14:paraId="41B41B19" w14:textId="77777777" w:rsidR="00CF4A70" w:rsidRDefault="00CF4A70" w:rsidP="00CF4A70">
            <w:pPr>
              <w:pStyle w:val="StandardWeb"/>
              <w:numPr>
                <w:ilvl w:val="0"/>
                <w:numId w:val="45"/>
              </w:numPr>
              <w:spacing w:before="0" w:beforeAutospacing="0" w:after="40" w:afterAutospacing="0"/>
              <w:textAlignment w:val="baseline"/>
              <w:rPr>
                <w:rFonts w:ascii="Aptos" w:hAnsi="Aptos"/>
                <w:b/>
                <w:bCs/>
                <w:color w:val="000000"/>
                <w:sz w:val="22"/>
                <w:szCs w:val="22"/>
              </w:rPr>
            </w:pPr>
            <w:r>
              <w:rPr>
                <w:rFonts w:ascii="Aptos" w:hAnsi="Aptos"/>
                <w:color w:val="000000"/>
                <w:sz w:val="22"/>
                <w:szCs w:val="22"/>
              </w:rPr>
              <w:t>Indicateurs clés de performance et rapports</w:t>
            </w:r>
          </w:p>
          <w:p w14:paraId="2C003890" w14:textId="3580545E" w:rsidR="00CF4A70" w:rsidRPr="00051F12" w:rsidRDefault="00CF4A70" w:rsidP="00CF4A70">
            <w:pPr>
              <w:numPr>
                <w:ilvl w:val="0"/>
                <w:numId w:val="5"/>
              </w:numPr>
              <w:spacing w:after="40"/>
              <w:rPr>
                <w:rFonts w:ascii="Aptos" w:hAnsi="Aptos"/>
                <w:b/>
                <w:bCs/>
                <w:lang w:val="de-DE"/>
              </w:rPr>
            </w:pPr>
            <w:r>
              <w:rPr>
                <w:rFonts w:ascii="Aptos" w:hAnsi="Aptos"/>
                <w:color w:val="000000"/>
              </w:rPr>
              <w:t>Mécanismes de retour d'information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BFB6" w14:textId="5BA96BB5" w:rsidR="00CF4A70" w:rsidRPr="00051F12" w:rsidRDefault="00CF4A70" w:rsidP="00CF4A70">
            <w:pPr>
              <w:spacing w:after="40"/>
              <w:rPr>
                <w:rFonts w:ascii="Aptos" w:hAnsi="Aptos"/>
                <w:lang w:val="de-DE"/>
              </w:rPr>
            </w:pPr>
            <w:r>
              <w:rPr>
                <w:rFonts w:ascii="Aptos" w:hAnsi="Aptos"/>
                <w:color w:val="000000"/>
              </w:rPr>
              <w:t>3_2_Présentation – Suivi et évaluation</w:t>
            </w:r>
          </w:p>
        </w:tc>
        <w:tc>
          <w:tcPr>
            <w:tcW w:w="7229" w:type="dxa"/>
            <w:tcBorders>
              <w:top w:val="single" w:sz="4" w:space="0" w:color="000000"/>
              <w:left w:val="single" w:sz="4" w:space="0" w:color="000000"/>
              <w:bottom w:val="single" w:sz="4" w:space="0" w:color="000000"/>
              <w:right w:val="single" w:sz="4" w:space="0" w:color="000000"/>
            </w:tcBorders>
          </w:tcPr>
          <w:p w14:paraId="497D8710" w14:textId="77777777" w:rsidR="00CF4A70" w:rsidRDefault="00CF4A70" w:rsidP="00CF4A70">
            <w:pPr>
              <w:pStyle w:val="StandardWeb"/>
              <w:spacing w:before="0" w:beforeAutospacing="0" w:after="40" w:afterAutospacing="0"/>
            </w:pPr>
            <w:proofErr w:type="gramStart"/>
            <w:r>
              <w:rPr>
                <w:rFonts w:ascii="Aptos" w:hAnsi="Aptos"/>
                <w:b/>
                <w:bCs/>
                <w:color w:val="000000"/>
                <w:sz w:val="22"/>
                <w:szCs w:val="22"/>
              </w:rPr>
              <w:t>Objectifs :</w:t>
            </w:r>
            <w:proofErr w:type="gramEnd"/>
          </w:p>
          <w:p w14:paraId="6FB343E8" w14:textId="77777777" w:rsidR="00CF4A70" w:rsidRDefault="00CF4A70" w:rsidP="00CF4A70">
            <w:pPr>
              <w:pStyle w:val="StandardWeb"/>
              <w:numPr>
                <w:ilvl w:val="0"/>
                <w:numId w:val="47"/>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Permettre aux participants de comprendre comment suivre systématiquement la mise en œuvre locale des pratiques d'achat durable.</w:t>
            </w:r>
          </w:p>
          <w:p w14:paraId="4B4105FB" w14:textId="77777777" w:rsidR="00CF4A70" w:rsidRDefault="00CF4A70" w:rsidP="00CF4A70">
            <w:pPr>
              <w:pStyle w:val="StandardWeb"/>
              <w:numPr>
                <w:ilvl w:val="0"/>
                <w:numId w:val="47"/>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Présenter des indicateurs clés de performance (KPI) et des méthodes de reporting concrets pour mesurer les progrès, démontrer l'impact et garantir la responsabilité.</w:t>
            </w:r>
          </w:p>
          <w:p w14:paraId="0F7562F7" w14:textId="188F3AD7" w:rsidR="00CF4A70" w:rsidRPr="00051F12" w:rsidRDefault="00CF4A70" w:rsidP="00CF4A70">
            <w:pPr>
              <w:pStyle w:val="Listenabsatz"/>
              <w:numPr>
                <w:ilvl w:val="0"/>
                <w:numId w:val="26"/>
              </w:numPr>
              <w:spacing w:after="40"/>
              <w:rPr>
                <w:rFonts w:ascii="Aptos" w:hAnsi="Aptos"/>
                <w:lang w:val="de-DE"/>
              </w:rPr>
            </w:pPr>
            <w:r>
              <w:rPr>
                <w:rFonts w:ascii="Aptos" w:hAnsi="Aptos"/>
                <w:color w:val="000000"/>
              </w:rPr>
              <w:t>Développer des mécanismes de retour d'information efficaces qui favorisent l'amélioration continue, l'apprentissage et le changement institutionnel à long terme.</w:t>
            </w:r>
          </w:p>
        </w:tc>
      </w:tr>
      <w:tr w:rsidR="00CF4A70" w:rsidRPr="00051F12" w14:paraId="2507209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04A6E" w14:textId="7091BAD3" w:rsidR="00CF4A70" w:rsidRPr="00051F12" w:rsidRDefault="00CF4A70" w:rsidP="00CF4A70">
            <w:pPr>
              <w:spacing w:after="40"/>
              <w:rPr>
                <w:rFonts w:ascii="Aptos" w:hAnsi="Aptos"/>
                <w:highlight w:val="yellow"/>
                <w:lang w:val="de-DE"/>
              </w:rPr>
            </w:pPr>
            <w:r>
              <w:rPr>
                <w:rFonts w:ascii="Aptos" w:hAnsi="Aptos"/>
                <w:color w:val="000000"/>
              </w:rPr>
              <w:t>2 h</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474A7" w14:textId="77777777" w:rsidR="00CF4A70" w:rsidRDefault="00CF4A70" w:rsidP="00CF4A70">
            <w:pPr>
              <w:pStyle w:val="StandardWeb"/>
              <w:spacing w:before="0" w:beforeAutospacing="0" w:after="40" w:afterAutospacing="0"/>
            </w:pPr>
            <w:r>
              <w:rPr>
                <w:rFonts w:ascii="Aptos" w:hAnsi="Aptos"/>
                <w:b/>
                <w:bCs/>
                <w:color w:val="000000"/>
                <w:sz w:val="22"/>
                <w:szCs w:val="22"/>
              </w:rPr>
              <w:t>Séances pratiques</w:t>
            </w:r>
          </w:p>
          <w:p w14:paraId="06AC0B08" w14:textId="77777777" w:rsidR="00CF4A70" w:rsidRDefault="00CF4A70" w:rsidP="00CF4A70">
            <w:pPr>
              <w:pStyle w:val="StandardWeb"/>
              <w:numPr>
                <w:ilvl w:val="0"/>
                <w:numId w:val="46"/>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Chaque participant anime une mini-session</w:t>
            </w:r>
          </w:p>
          <w:p w14:paraId="6E2560E8" w14:textId="112FD5A6" w:rsidR="00CF4A70" w:rsidRPr="00051F12" w:rsidRDefault="00CF4A70" w:rsidP="00CF4A70">
            <w:pPr>
              <w:numPr>
                <w:ilvl w:val="0"/>
                <w:numId w:val="3"/>
              </w:numPr>
              <w:spacing w:after="40"/>
              <w:rPr>
                <w:rFonts w:ascii="Aptos" w:hAnsi="Aptos"/>
                <w:lang w:val="de-DE"/>
              </w:rPr>
            </w:pPr>
            <w:r>
              <w:rPr>
                <w:rFonts w:ascii="Aptos" w:hAnsi="Aptos"/>
                <w:color w:val="000000"/>
              </w:rPr>
              <w:lastRenderedPageBreak/>
              <w:t>Retour d'expérience entre pairs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423C8" w14:textId="77777777" w:rsidR="00CF4A70" w:rsidRDefault="00CF4A70" w:rsidP="00CF4A70">
            <w:pPr>
              <w:pStyle w:val="StandardWeb"/>
              <w:spacing w:before="0" w:beforeAutospacing="0" w:after="40" w:afterAutospacing="0"/>
            </w:pPr>
            <w:r>
              <w:rPr>
                <w:rFonts w:ascii="Aptos" w:hAnsi="Aptos"/>
                <w:color w:val="000000"/>
                <w:sz w:val="22"/>
                <w:szCs w:val="22"/>
              </w:rPr>
              <w:lastRenderedPageBreak/>
              <w:t>3_3_Présentation – Séances pratiques</w:t>
            </w:r>
          </w:p>
          <w:p w14:paraId="2B03882A" w14:textId="0A7D7C03" w:rsidR="00CF4A70" w:rsidRPr="00051F12" w:rsidRDefault="00CF4A70" w:rsidP="00CF4A70">
            <w:pPr>
              <w:spacing w:after="40"/>
              <w:rPr>
                <w:rFonts w:ascii="Aptos" w:hAnsi="Aptos"/>
                <w:lang w:val="de-DE"/>
              </w:rPr>
            </w:pPr>
            <w:r>
              <w:rPr>
                <w:rFonts w:ascii="Aptos" w:hAnsi="Aptos"/>
                <w:color w:val="000000"/>
              </w:rPr>
              <w:t>3_4_Séance d'exercices pratiques</w:t>
            </w:r>
          </w:p>
        </w:tc>
        <w:tc>
          <w:tcPr>
            <w:tcW w:w="7229" w:type="dxa"/>
            <w:tcBorders>
              <w:top w:val="single" w:sz="4" w:space="0" w:color="000000"/>
              <w:left w:val="single" w:sz="4" w:space="0" w:color="000000"/>
              <w:bottom w:val="single" w:sz="4" w:space="0" w:color="000000"/>
              <w:right w:val="single" w:sz="4" w:space="0" w:color="000000"/>
            </w:tcBorders>
          </w:tcPr>
          <w:p w14:paraId="4826D045" w14:textId="77777777" w:rsidR="00CF4A70" w:rsidRDefault="00CF4A70" w:rsidP="00CF4A70">
            <w:pPr>
              <w:pStyle w:val="StandardWeb"/>
              <w:spacing w:before="0" w:beforeAutospacing="0" w:after="160" w:afterAutospacing="0"/>
            </w:pPr>
            <w:r>
              <w:rPr>
                <w:rFonts w:ascii="Aptos" w:hAnsi="Aptos"/>
                <w:i/>
                <w:iCs/>
                <w:color w:val="000000"/>
                <w:sz w:val="22"/>
                <w:szCs w:val="22"/>
              </w:rPr>
              <w:t xml:space="preserve">Voir le document 3_3 Présentation – Séances pratiques. Les participants élaborent une mini-séance de formation individuellement ou par deux en utilisant les connaissances acquises tout au long du cours. Ils animent ensuite cette mini-séance. En raison des contraintes de temps, il s'agira probablement davantage d'une présentation de leur concept que d'une </w:t>
            </w:r>
            <w:r>
              <w:rPr>
                <w:rFonts w:ascii="Aptos" w:hAnsi="Aptos"/>
                <w:i/>
                <w:iCs/>
                <w:color w:val="000000"/>
                <w:sz w:val="22"/>
                <w:szCs w:val="22"/>
              </w:rPr>
              <w:lastRenderedPageBreak/>
              <w:t>véritable animation de séance. Cette présentation est suivie d'un retour d'expérience de la part des autres participants.</w:t>
            </w:r>
          </w:p>
          <w:p w14:paraId="1410BE96" w14:textId="77777777" w:rsidR="00CF4A70" w:rsidRDefault="00CF4A70" w:rsidP="00CF4A70">
            <w:pPr>
              <w:pStyle w:val="StandardWeb"/>
              <w:spacing w:before="0" w:beforeAutospacing="0" w:after="160" w:afterAutospacing="0"/>
            </w:pPr>
            <w:r>
              <w:rPr>
                <w:rFonts w:ascii="Aptos" w:hAnsi="Aptos"/>
                <w:i/>
                <w:iCs/>
                <w:color w:val="000000"/>
                <w:sz w:val="22"/>
                <w:szCs w:val="22"/>
              </w:rPr>
              <w:t>Dans le document 3_4_Séance d'exercices pratiques, vous trouverez des exemples de thèmes, mais les participants peuvent choisir leur propre contenu.</w:t>
            </w:r>
          </w:p>
          <w:p w14:paraId="616C39F6" w14:textId="77777777" w:rsidR="00CF4A70" w:rsidRDefault="00CF4A70" w:rsidP="00CF4A70">
            <w:pPr>
              <w:pStyle w:val="StandardWeb"/>
              <w:spacing w:before="0" w:beforeAutospacing="0" w:after="160" w:afterAutospacing="0"/>
            </w:pPr>
            <w:proofErr w:type="gramStart"/>
            <w:r>
              <w:rPr>
                <w:rFonts w:ascii="Aptos" w:hAnsi="Aptos"/>
                <w:b/>
                <w:bCs/>
                <w:color w:val="000000"/>
                <w:sz w:val="22"/>
                <w:szCs w:val="22"/>
              </w:rPr>
              <w:t>Objectifs :</w:t>
            </w:r>
            <w:proofErr w:type="gramEnd"/>
          </w:p>
          <w:p w14:paraId="0FF8786C" w14:textId="77777777" w:rsidR="00CF4A70" w:rsidRDefault="00CF4A70" w:rsidP="00CF4A70">
            <w:pPr>
              <w:pStyle w:val="StandardWeb"/>
              <w:numPr>
                <w:ilvl w:val="0"/>
                <w:numId w:val="48"/>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Donner aux participants l'occasion de mettre en pratique ce qu'ils ont appris en concevant et en présentant une mini-session de formation, individuellement ou en binôme.</w:t>
            </w:r>
          </w:p>
          <w:p w14:paraId="4A3089D8" w14:textId="77777777" w:rsidR="00CF4A70" w:rsidRDefault="00CF4A70" w:rsidP="00CF4A70">
            <w:pPr>
              <w:pStyle w:val="StandardWeb"/>
              <w:numPr>
                <w:ilvl w:val="0"/>
                <w:numId w:val="48"/>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Renforcer la confiance des participants dans leur capacité à dispenser un contenu de formation et à structurer efficacement une session pour un public local.</w:t>
            </w:r>
          </w:p>
          <w:p w14:paraId="447058B0" w14:textId="43250FAA" w:rsidR="00CF4A70" w:rsidRPr="00051F12" w:rsidRDefault="00CF4A70" w:rsidP="00CF4A70">
            <w:pPr>
              <w:pStyle w:val="Listenabsatz"/>
              <w:numPr>
                <w:ilvl w:val="0"/>
                <w:numId w:val="27"/>
              </w:numPr>
              <w:pBdr>
                <w:top w:val="nil"/>
                <w:left w:val="nil"/>
                <w:bottom w:val="nil"/>
                <w:right w:val="nil"/>
                <w:between w:val="nil"/>
              </w:pBdr>
              <w:spacing w:line="240" w:lineRule="auto"/>
              <w:rPr>
                <w:rFonts w:ascii="Aptos" w:eastAsia="Times New Roman" w:hAnsi="Aptos" w:cs="Times New Roman"/>
                <w:color w:val="000000"/>
                <w:lang w:val="de-DE"/>
              </w:rPr>
            </w:pPr>
            <w:r>
              <w:rPr>
                <w:rFonts w:ascii="Aptos" w:hAnsi="Aptos"/>
                <w:color w:val="000000"/>
              </w:rPr>
              <w:t>Favoriser un apprentissage constructif entre pairs grâce à des retours d'expérience structurés, permettant aux participants d'affiner leur approche et leurs compétences de présentation.</w:t>
            </w:r>
          </w:p>
        </w:tc>
      </w:tr>
      <w:tr w:rsidR="00CF4A70" w:rsidRPr="00051F12" w14:paraId="06A3AA6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665F2" w14:textId="6F371A1C" w:rsidR="00CF4A70" w:rsidRPr="00051F12" w:rsidRDefault="00CF4A70" w:rsidP="00CF4A70">
            <w:pPr>
              <w:spacing w:after="40"/>
              <w:rPr>
                <w:rFonts w:ascii="Aptos" w:hAnsi="Aptos"/>
                <w:highlight w:val="yellow"/>
                <w:lang w:val="de-DE"/>
              </w:rPr>
            </w:pPr>
            <w:r>
              <w:rPr>
                <w:rFonts w:ascii="Aptos" w:hAnsi="Aptos"/>
                <w:color w:val="000000"/>
              </w:rPr>
              <w:lastRenderedPageBreak/>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002AC" w14:textId="77777777" w:rsidR="00CF4A70" w:rsidRDefault="00CF4A70" w:rsidP="00CF4A70">
            <w:pPr>
              <w:pStyle w:val="StandardWeb"/>
              <w:spacing w:before="0" w:beforeAutospacing="0" w:after="40" w:afterAutospacing="0"/>
            </w:pPr>
            <w:r>
              <w:rPr>
                <w:rFonts w:ascii="Aptos" w:hAnsi="Aptos"/>
                <w:b/>
                <w:bCs/>
                <w:color w:val="000000"/>
                <w:sz w:val="22"/>
                <w:szCs w:val="22"/>
              </w:rPr>
              <w:t>Conclusion / Prochaines étapes</w:t>
            </w:r>
          </w:p>
          <w:p w14:paraId="35336317" w14:textId="77777777" w:rsidR="00CF4A70" w:rsidRDefault="00CF4A70" w:rsidP="00CF4A70">
            <w:pPr>
              <w:pStyle w:val="StandardWeb"/>
              <w:numPr>
                <w:ilvl w:val="0"/>
                <w:numId w:val="4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Certificat de participation</w:t>
            </w:r>
          </w:p>
          <w:p w14:paraId="0F6D44B2" w14:textId="77777777" w:rsidR="00CF4A70" w:rsidRDefault="00CF4A70" w:rsidP="00CF4A70">
            <w:pPr>
              <w:pStyle w:val="StandardWeb"/>
              <w:numPr>
                <w:ilvl w:val="0"/>
                <w:numId w:val="4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Accès à des boîtes à outils, des lignes d'assistance ou des communautés de pratique</w:t>
            </w:r>
          </w:p>
          <w:p w14:paraId="38FD811D" w14:textId="6DF1243F" w:rsidR="00CF4A70" w:rsidRPr="00051F12" w:rsidRDefault="00CF4A70" w:rsidP="00CF4A70">
            <w:pPr>
              <w:numPr>
                <w:ilvl w:val="0"/>
                <w:numId w:val="6"/>
              </w:numPr>
              <w:spacing w:after="40"/>
              <w:rPr>
                <w:rFonts w:ascii="Aptos" w:hAnsi="Aptos"/>
                <w:lang w:val="de-DE"/>
              </w:rPr>
            </w:pPr>
            <w:r>
              <w:rPr>
                <w:rFonts w:ascii="Aptos" w:hAnsi="Aptos"/>
                <w:color w:val="000000"/>
              </w:rPr>
              <w:t>Déclarations d'engagement / plan d'action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EF872" w14:textId="7BFADFB4" w:rsidR="00CF4A70" w:rsidRPr="00051F12" w:rsidRDefault="00CF4A70" w:rsidP="00CF4A70">
            <w:pPr>
              <w:spacing w:after="40"/>
              <w:rPr>
                <w:rFonts w:ascii="Aptos" w:hAnsi="Aptos"/>
                <w:lang w:val="de-DE"/>
              </w:rPr>
            </w:pPr>
            <w:r>
              <w:rPr>
                <w:rFonts w:ascii="Aptos" w:hAnsi="Aptos"/>
                <w:color w:val="000000"/>
              </w:rPr>
              <w:t>/</w:t>
            </w:r>
          </w:p>
        </w:tc>
        <w:tc>
          <w:tcPr>
            <w:tcW w:w="7229" w:type="dxa"/>
            <w:tcBorders>
              <w:top w:val="single" w:sz="4" w:space="0" w:color="000000"/>
              <w:left w:val="single" w:sz="4" w:space="0" w:color="000000"/>
              <w:bottom w:val="single" w:sz="4" w:space="0" w:color="000000"/>
              <w:right w:val="single" w:sz="4" w:space="0" w:color="000000"/>
            </w:tcBorders>
          </w:tcPr>
          <w:p w14:paraId="571B8650" w14:textId="77777777" w:rsidR="00CF4A70" w:rsidRDefault="00CF4A70" w:rsidP="00CF4A70">
            <w:pPr>
              <w:pStyle w:val="StandardWeb"/>
              <w:spacing w:before="0" w:beforeAutospacing="0" w:after="160" w:afterAutospacing="0"/>
            </w:pPr>
            <w:r>
              <w:rPr>
                <w:rFonts w:ascii="Aptos" w:hAnsi="Aptos"/>
                <w:i/>
                <w:iCs/>
                <w:color w:val="000000"/>
                <w:sz w:val="22"/>
                <w:szCs w:val="22"/>
              </w:rPr>
              <w:t>Il ne s'agit ici que d'une suggestion, sans modèles ni supports concrets. Vous pourriez envisager de délivrer un certificat et de distribuer un document contenant des sources d'information.</w:t>
            </w:r>
          </w:p>
          <w:p w14:paraId="6AB6ECB4" w14:textId="55FC8B6B" w:rsidR="00CF4A70" w:rsidRPr="00051F12" w:rsidRDefault="00CF4A70" w:rsidP="00CF4A70">
            <w:pPr>
              <w:pBdr>
                <w:top w:val="nil"/>
                <w:left w:val="nil"/>
                <w:bottom w:val="nil"/>
                <w:right w:val="nil"/>
                <w:between w:val="nil"/>
              </w:pBdr>
              <w:spacing w:line="240" w:lineRule="auto"/>
              <w:rPr>
                <w:rFonts w:ascii="Aptos" w:eastAsia="Times New Roman" w:hAnsi="Aptos" w:cs="Times New Roman"/>
                <w:color w:val="000000"/>
                <w:lang w:val="de-DE"/>
              </w:rPr>
            </w:pPr>
            <w:r>
              <w:rPr>
                <w:rFonts w:ascii="Aptos" w:hAnsi="Aptos"/>
                <w:i/>
                <w:iCs/>
                <w:color w:val="000000"/>
              </w:rPr>
              <w:t>Cela pourrait également être l'occasion de discuter de la manière d'obtenir un engagement de la municipalité et de commencer à planifier les actions.</w:t>
            </w:r>
          </w:p>
        </w:tc>
      </w:tr>
    </w:tbl>
    <w:p w14:paraId="4FCE0D29" w14:textId="77777777" w:rsidR="00D118F5" w:rsidRPr="00051F12" w:rsidRDefault="00D118F5" w:rsidP="00D118F5">
      <w:pPr>
        <w:spacing w:after="40"/>
        <w:rPr>
          <w:rFonts w:ascii="Aptos" w:hAnsi="Aptos"/>
          <w:lang w:val="de-DE"/>
        </w:rPr>
      </w:pPr>
    </w:p>
    <w:p w14:paraId="65DFD101" w14:textId="7A1BD289" w:rsidR="00EA7BDD" w:rsidRPr="00051F12" w:rsidRDefault="00EA7BDD" w:rsidP="009D5F0A">
      <w:pPr>
        <w:rPr>
          <w:lang w:val="de-DE"/>
        </w:rPr>
      </w:pPr>
    </w:p>
    <w:sectPr w:rsidR="00EA7BDD" w:rsidRPr="00051F12" w:rsidSect="00801422">
      <w:headerReference w:type="default" r:id="rId9"/>
      <w:footerReference w:type="default" r:id="rId1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A2E" w14:textId="77777777" w:rsidR="00321699" w:rsidRDefault="00321699" w:rsidP="009D5F0A">
      <w:r>
        <w:separator/>
      </w:r>
    </w:p>
  </w:endnote>
  <w:endnote w:type="continuationSeparator" w:id="0">
    <w:p w14:paraId="1E8A2BBA" w14:textId="77777777" w:rsidR="00321699" w:rsidRDefault="00321699"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7A8" w14:textId="593E987F" w:rsidR="009D5F0A" w:rsidRPr="009D5F0A" w:rsidRDefault="00D966C3" w:rsidP="009D5F0A">
    <w:pPr>
      <w:pStyle w:val="Fuzeile"/>
      <w:jc w:val="both"/>
      <w:rPr>
        <w:sz w:val="13"/>
        <w:szCs w:val="13"/>
        <w:lang w:val="en-US"/>
      </w:rPr>
    </w:pPr>
    <w:r w:rsidRPr="009747CA">
      <w:rPr>
        <w:noProof/>
        <w:color w:val="000000"/>
        <w:sz w:val="13"/>
        <w:szCs w:val="13"/>
      </w:rPr>
      <w:drawing>
        <wp:anchor distT="0" distB="0" distL="114300" distR="114300" simplePos="0" relativeHeight="251660288" behindDoc="1" locked="0" layoutInCell="1" allowOverlap="1" wp14:anchorId="516D23B7" wp14:editId="50C3D0DE">
          <wp:simplePos x="0" y="0"/>
          <wp:positionH relativeFrom="column">
            <wp:posOffset>3810</wp:posOffset>
          </wp:positionH>
          <wp:positionV relativeFrom="paragraph">
            <wp:posOffset>-241935</wp:posOffset>
          </wp:positionV>
          <wp:extent cx="2109470" cy="843280"/>
          <wp:effectExtent l="0" t="0" r="0" b="0"/>
          <wp:wrapTight wrapText="bothSides">
            <wp:wrapPolygon edited="0">
              <wp:start x="0" y="0"/>
              <wp:lineTo x="0" y="21145"/>
              <wp:lineTo x="21457" y="21145"/>
              <wp:lineTo x="21457" y="0"/>
              <wp:lineTo x="0" y="0"/>
            </wp:wrapPolygon>
          </wp:wrapTight>
          <wp:docPr id="2" name="Grafik 1">
            <a:extLst xmlns:a="http://schemas.openxmlformats.org/drawingml/2006/main">
              <a:ext uri="{FF2B5EF4-FFF2-40B4-BE49-F238E27FC236}">
                <a16:creationId xmlns:a16="http://schemas.microsoft.com/office/drawing/2014/main" id="{94F1B025-9FF8-2DA5-47B3-A27AE55F7B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94F1B025-9FF8-2DA5-47B3-A27AE55F7B0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9470" cy="843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81EF" w14:textId="77777777" w:rsidR="00321699" w:rsidRDefault="00321699" w:rsidP="009D5F0A">
      <w:r>
        <w:separator/>
      </w:r>
    </w:p>
  </w:footnote>
  <w:footnote w:type="continuationSeparator" w:id="0">
    <w:p w14:paraId="4ECCEFC7" w14:textId="77777777" w:rsidR="00321699" w:rsidRDefault="00321699"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CA06" w14:textId="77777777" w:rsidR="009D5F0A" w:rsidRDefault="009D5F0A">
    <w:pPr>
      <w:pStyle w:val="Kopfzeile"/>
    </w:pPr>
    <w:r>
      <w:rPr>
        <w:noProof/>
      </w:rPr>
      <w:drawing>
        <wp:anchor distT="0" distB="0" distL="114300" distR="114300" simplePos="0" relativeHeight="251658240" behindDoc="1" locked="0" layoutInCell="1" allowOverlap="1" wp14:anchorId="1F079A42" wp14:editId="79661316">
          <wp:simplePos x="0" y="0"/>
          <wp:positionH relativeFrom="column">
            <wp:posOffset>8441055</wp:posOffset>
          </wp:positionH>
          <wp:positionV relativeFrom="paragraph">
            <wp:posOffset>-264795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F8"/>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E81"/>
    <w:multiLevelType w:val="multilevel"/>
    <w:tmpl w:val="EE9C8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5479DF"/>
    <w:multiLevelType w:val="multilevel"/>
    <w:tmpl w:val="77EAE8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E37C2D"/>
    <w:multiLevelType w:val="multilevel"/>
    <w:tmpl w:val="5CA81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1B1DF7"/>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D3F04"/>
    <w:multiLevelType w:val="multilevel"/>
    <w:tmpl w:val="8A3C9B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E80130"/>
    <w:multiLevelType w:val="multilevel"/>
    <w:tmpl w:val="69B2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87C15"/>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526EB"/>
    <w:multiLevelType w:val="multilevel"/>
    <w:tmpl w:val="685C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B32D6"/>
    <w:multiLevelType w:val="multilevel"/>
    <w:tmpl w:val="FF62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66A"/>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66BB7"/>
    <w:multiLevelType w:val="hybridMultilevel"/>
    <w:tmpl w:val="46080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8632E7"/>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52885"/>
    <w:multiLevelType w:val="hybridMultilevel"/>
    <w:tmpl w:val="4B320D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6A478A8"/>
    <w:multiLevelType w:val="multilevel"/>
    <w:tmpl w:val="1F5C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0AFD"/>
    <w:multiLevelType w:val="multilevel"/>
    <w:tmpl w:val="5B9E2E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8A42FB3"/>
    <w:multiLevelType w:val="multilevel"/>
    <w:tmpl w:val="5EEE6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C484687"/>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04E2F"/>
    <w:multiLevelType w:val="hybridMultilevel"/>
    <w:tmpl w:val="2BB6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5F18A2"/>
    <w:multiLevelType w:val="multilevel"/>
    <w:tmpl w:val="45AAE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1714687"/>
    <w:multiLevelType w:val="multilevel"/>
    <w:tmpl w:val="E58C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531DC"/>
    <w:multiLevelType w:val="multilevel"/>
    <w:tmpl w:val="EF28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AB10D7"/>
    <w:multiLevelType w:val="multilevel"/>
    <w:tmpl w:val="51EA09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D6860C9"/>
    <w:multiLevelType w:val="hybridMultilevel"/>
    <w:tmpl w:val="C1186BB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F92A5A"/>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46E00"/>
    <w:multiLevelType w:val="hybridMultilevel"/>
    <w:tmpl w:val="41A4BE92"/>
    <w:lvl w:ilvl="0" w:tplc="8242830E">
      <w:numFmt w:val="bullet"/>
      <w:lvlText w:val=""/>
      <w:lvlJc w:val="left"/>
      <w:pPr>
        <w:ind w:left="720" w:hanging="360"/>
      </w:pPr>
      <w:rPr>
        <w:rFonts w:ascii="Aptos" w:eastAsia="Calibri" w:hAnsi="Apto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D33138"/>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04EFF"/>
    <w:multiLevelType w:val="multilevel"/>
    <w:tmpl w:val="8540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67AD5"/>
    <w:multiLevelType w:val="multilevel"/>
    <w:tmpl w:val="FD1E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170583"/>
    <w:multiLevelType w:val="hybridMultilevel"/>
    <w:tmpl w:val="6330B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461D1C"/>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E7F16"/>
    <w:multiLevelType w:val="multilevel"/>
    <w:tmpl w:val="7C50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4169A9"/>
    <w:multiLevelType w:val="hybridMultilevel"/>
    <w:tmpl w:val="7EA29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1927694"/>
    <w:multiLevelType w:val="hybridMultilevel"/>
    <w:tmpl w:val="C0A4D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9F6D4B"/>
    <w:multiLevelType w:val="hybridMultilevel"/>
    <w:tmpl w:val="3962E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26A3E29"/>
    <w:multiLevelType w:val="multilevel"/>
    <w:tmpl w:val="F886F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4A31C94"/>
    <w:multiLevelType w:val="multilevel"/>
    <w:tmpl w:val="3D7E8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6B21A05"/>
    <w:multiLevelType w:val="multilevel"/>
    <w:tmpl w:val="BA32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185609"/>
    <w:multiLevelType w:val="hybridMultilevel"/>
    <w:tmpl w:val="DFF68F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9651628"/>
    <w:multiLevelType w:val="multilevel"/>
    <w:tmpl w:val="81646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9B92FB5"/>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EC647D"/>
    <w:multiLevelType w:val="multilevel"/>
    <w:tmpl w:val="C270F628"/>
    <w:lvl w:ilvl="0">
      <w:start w:val="1"/>
      <w:numFmt w:val="decimal"/>
      <w:lvlText w:val="%1."/>
      <w:lvlJc w:val="left"/>
      <w:pPr>
        <w:ind w:left="0" w:firstLine="0"/>
      </w:pPr>
    </w:lvl>
    <w:lvl w:ilvl="1">
      <w:start w:val="1"/>
      <w:numFmt w:val="bullet"/>
      <w:lvlText w:val="●"/>
      <w:lvlJc w:val="left"/>
      <w:pPr>
        <w:ind w:left="1352"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FF42A62"/>
    <w:multiLevelType w:val="hybridMultilevel"/>
    <w:tmpl w:val="508A2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A20D06"/>
    <w:multiLevelType w:val="multilevel"/>
    <w:tmpl w:val="AEAA57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33C2412"/>
    <w:multiLevelType w:val="hybridMultilevel"/>
    <w:tmpl w:val="FE943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827F65"/>
    <w:multiLevelType w:val="multilevel"/>
    <w:tmpl w:val="1AEC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3858A2"/>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81868"/>
    <w:multiLevelType w:val="multilevel"/>
    <w:tmpl w:val="F52A1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E375406"/>
    <w:multiLevelType w:val="multilevel"/>
    <w:tmpl w:val="8472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918323">
    <w:abstractNumId w:val="19"/>
  </w:num>
  <w:num w:numId="2" w16cid:durableId="1994405202">
    <w:abstractNumId w:val="47"/>
  </w:num>
  <w:num w:numId="3" w16cid:durableId="1619725650">
    <w:abstractNumId w:val="3"/>
  </w:num>
  <w:num w:numId="4" w16cid:durableId="550729967">
    <w:abstractNumId w:val="1"/>
  </w:num>
  <w:num w:numId="5" w16cid:durableId="970937057">
    <w:abstractNumId w:val="22"/>
  </w:num>
  <w:num w:numId="6" w16cid:durableId="1745832708">
    <w:abstractNumId w:val="15"/>
  </w:num>
  <w:num w:numId="7" w16cid:durableId="467163381">
    <w:abstractNumId w:val="5"/>
  </w:num>
  <w:num w:numId="8" w16cid:durableId="1630474304">
    <w:abstractNumId w:val="35"/>
  </w:num>
  <w:num w:numId="9" w16cid:durableId="1629386678">
    <w:abstractNumId w:val="2"/>
  </w:num>
  <w:num w:numId="10" w16cid:durableId="2093622374">
    <w:abstractNumId w:val="43"/>
  </w:num>
  <w:num w:numId="11" w16cid:durableId="640305129">
    <w:abstractNumId w:val="16"/>
  </w:num>
  <w:num w:numId="12" w16cid:durableId="211427930">
    <w:abstractNumId w:val="36"/>
  </w:num>
  <w:num w:numId="13" w16cid:durableId="162360314">
    <w:abstractNumId w:val="41"/>
  </w:num>
  <w:num w:numId="14" w16cid:durableId="78252942">
    <w:abstractNumId w:val="39"/>
  </w:num>
  <w:num w:numId="15" w16cid:durableId="2055428291">
    <w:abstractNumId w:val="14"/>
  </w:num>
  <w:num w:numId="16" w16cid:durableId="1560163300">
    <w:abstractNumId w:val="33"/>
  </w:num>
  <w:num w:numId="17" w16cid:durableId="714739393">
    <w:abstractNumId w:val="25"/>
  </w:num>
  <w:num w:numId="18" w16cid:durableId="1288976036">
    <w:abstractNumId w:val="23"/>
  </w:num>
  <w:num w:numId="19" w16cid:durableId="1167789992">
    <w:abstractNumId w:val="29"/>
  </w:num>
  <w:num w:numId="20" w16cid:durableId="1916821302">
    <w:abstractNumId w:val="38"/>
  </w:num>
  <w:num w:numId="21" w16cid:durableId="1971016637">
    <w:abstractNumId w:val="13"/>
  </w:num>
  <w:num w:numId="22" w16cid:durableId="1655379940">
    <w:abstractNumId w:val="18"/>
  </w:num>
  <w:num w:numId="23" w16cid:durableId="1715229989">
    <w:abstractNumId w:val="11"/>
  </w:num>
  <w:num w:numId="24" w16cid:durableId="534656729">
    <w:abstractNumId w:val="44"/>
  </w:num>
  <w:num w:numId="25" w16cid:durableId="1647857451">
    <w:abstractNumId w:val="42"/>
  </w:num>
  <w:num w:numId="26" w16cid:durableId="1348555076">
    <w:abstractNumId w:val="32"/>
  </w:num>
  <w:num w:numId="27" w16cid:durableId="1523471234">
    <w:abstractNumId w:val="34"/>
  </w:num>
  <w:num w:numId="28" w16cid:durableId="2120101296">
    <w:abstractNumId w:val="27"/>
  </w:num>
  <w:num w:numId="29" w16cid:durableId="1196309155">
    <w:abstractNumId w:val="48"/>
  </w:num>
  <w:num w:numId="30" w16cid:durableId="335966018">
    <w:abstractNumId w:val="12"/>
  </w:num>
  <w:num w:numId="31" w16cid:durableId="2083261033">
    <w:abstractNumId w:val="8"/>
  </w:num>
  <w:num w:numId="32" w16cid:durableId="1375304534">
    <w:abstractNumId w:val="4"/>
  </w:num>
  <w:num w:numId="33" w16cid:durableId="846485736">
    <w:abstractNumId w:val="9"/>
  </w:num>
  <w:num w:numId="34" w16cid:durableId="699209934">
    <w:abstractNumId w:val="0"/>
  </w:num>
  <w:num w:numId="35" w16cid:durableId="1127435388">
    <w:abstractNumId w:val="28"/>
  </w:num>
  <w:num w:numId="36" w16cid:durableId="2086952102">
    <w:abstractNumId w:val="40"/>
  </w:num>
  <w:num w:numId="37" w16cid:durableId="494995434">
    <w:abstractNumId w:val="31"/>
  </w:num>
  <w:num w:numId="38" w16cid:durableId="1543244927">
    <w:abstractNumId w:val="17"/>
  </w:num>
  <w:num w:numId="39" w16cid:durableId="1844009583">
    <w:abstractNumId w:val="26"/>
  </w:num>
  <w:num w:numId="40" w16cid:durableId="2053118466">
    <w:abstractNumId w:val="7"/>
  </w:num>
  <w:num w:numId="41" w16cid:durableId="1714229950">
    <w:abstractNumId w:val="37"/>
  </w:num>
  <w:num w:numId="42" w16cid:durableId="814101346">
    <w:abstractNumId w:val="10"/>
  </w:num>
  <w:num w:numId="43" w16cid:durableId="1473861447">
    <w:abstractNumId w:val="45"/>
  </w:num>
  <w:num w:numId="44" w16cid:durableId="444229973">
    <w:abstractNumId w:val="46"/>
  </w:num>
  <w:num w:numId="45" w16cid:durableId="969558436">
    <w:abstractNumId w:val="20"/>
  </w:num>
  <w:num w:numId="46" w16cid:durableId="923534821">
    <w:abstractNumId w:val="6"/>
  </w:num>
  <w:num w:numId="47" w16cid:durableId="2043751627">
    <w:abstractNumId w:val="30"/>
  </w:num>
  <w:num w:numId="48" w16cid:durableId="164518232">
    <w:abstractNumId w:val="24"/>
  </w:num>
  <w:num w:numId="49" w16cid:durableId="946932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F5"/>
    <w:rsid w:val="00051F12"/>
    <w:rsid w:val="000B1AC5"/>
    <w:rsid w:val="000C48D3"/>
    <w:rsid w:val="0011793C"/>
    <w:rsid w:val="0012036A"/>
    <w:rsid w:val="00177C85"/>
    <w:rsid w:val="00286E98"/>
    <w:rsid w:val="002923AA"/>
    <w:rsid w:val="00295429"/>
    <w:rsid w:val="002C7A34"/>
    <w:rsid w:val="00300633"/>
    <w:rsid w:val="00321699"/>
    <w:rsid w:val="00353C12"/>
    <w:rsid w:val="00355F0A"/>
    <w:rsid w:val="00450DC5"/>
    <w:rsid w:val="00506342"/>
    <w:rsid w:val="00534173"/>
    <w:rsid w:val="005966AA"/>
    <w:rsid w:val="005B036F"/>
    <w:rsid w:val="005E2A44"/>
    <w:rsid w:val="00647FB1"/>
    <w:rsid w:val="00661572"/>
    <w:rsid w:val="006A7406"/>
    <w:rsid w:val="006C3607"/>
    <w:rsid w:val="006D35BD"/>
    <w:rsid w:val="006F5150"/>
    <w:rsid w:val="007026D1"/>
    <w:rsid w:val="007418DC"/>
    <w:rsid w:val="007711CC"/>
    <w:rsid w:val="00801276"/>
    <w:rsid w:val="00801422"/>
    <w:rsid w:val="00804EDF"/>
    <w:rsid w:val="00831FB0"/>
    <w:rsid w:val="00842E94"/>
    <w:rsid w:val="00907227"/>
    <w:rsid w:val="00932E4A"/>
    <w:rsid w:val="009C3DE8"/>
    <w:rsid w:val="009D317D"/>
    <w:rsid w:val="009D5F0A"/>
    <w:rsid w:val="009E09A6"/>
    <w:rsid w:val="009E4714"/>
    <w:rsid w:val="00A03BA3"/>
    <w:rsid w:val="00A1405C"/>
    <w:rsid w:val="00B116F0"/>
    <w:rsid w:val="00B22502"/>
    <w:rsid w:val="00B57C35"/>
    <w:rsid w:val="00C12D55"/>
    <w:rsid w:val="00C54988"/>
    <w:rsid w:val="00CB3455"/>
    <w:rsid w:val="00CB4D69"/>
    <w:rsid w:val="00CF4A70"/>
    <w:rsid w:val="00D118F5"/>
    <w:rsid w:val="00D145CE"/>
    <w:rsid w:val="00D261CE"/>
    <w:rsid w:val="00D26E8E"/>
    <w:rsid w:val="00D43E38"/>
    <w:rsid w:val="00D55EC8"/>
    <w:rsid w:val="00D67584"/>
    <w:rsid w:val="00D966C3"/>
    <w:rsid w:val="00DB6810"/>
    <w:rsid w:val="00E72547"/>
    <w:rsid w:val="00E81A62"/>
    <w:rsid w:val="00EA7BDD"/>
    <w:rsid w:val="00FA0A4A"/>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FA93"/>
  <w15:chartTrackingRefBased/>
  <w15:docId w15:val="{2686FCF2-522E-4D1F-B6B9-2F81052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8F5"/>
    <w:pPr>
      <w:spacing w:after="160" w:line="259" w:lineRule="auto"/>
    </w:pPr>
    <w:rPr>
      <w:rFonts w:ascii="Calibri" w:eastAsia="Calibri" w:hAnsi="Calibri" w:cs="Calibri"/>
      <w:kern w:val="0"/>
      <w:sz w:val="22"/>
      <w:szCs w:val="22"/>
      <w:lang w:val="en-GB" w:eastAsia="de-DE" w:bidi="ne-NP"/>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 w:type="character" w:styleId="Hyperlink">
    <w:name w:val="Hyperlink"/>
    <w:basedOn w:val="Absatz-Standardschriftart"/>
    <w:uiPriority w:val="99"/>
    <w:unhideWhenUsed/>
    <w:rsid w:val="00D118F5"/>
    <w:rPr>
      <w:color w:val="467886" w:themeColor="hyperlink"/>
      <w:u w:val="single"/>
    </w:rPr>
  </w:style>
  <w:style w:type="character" w:styleId="NichtaufgelsteErwhnung">
    <w:name w:val="Unresolved Mention"/>
    <w:basedOn w:val="Absatz-Standardschriftart"/>
    <w:uiPriority w:val="99"/>
    <w:semiHidden/>
    <w:unhideWhenUsed/>
    <w:rsid w:val="00D118F5"/>
    <w:rPr>
      <w:color w:val="605E5C"/>
      <w:shd w:val="clear" w:color="auto" w:fill="E1DFDD"/>
    </w:rPr>
  </w:style>
  <w:style w:type="character" w:styleId="Kommentarzeichen">
    <w:name w:val="annotation reference"/>
    <w:basedOn w:val="Absatz-Standardschriftart"/>
    <w:uiPriority w:val="99"/>
    <w:semiHidden/>
    <w:unhideWhenUsed/>
    <w:rsid w:val="00D118F5"/>
    <w:rPr>
      <w:sz w:val="16"/>
      <w:szCs w:val="16"/>
    </w:rPr>
  </w:style>
  <w:style w:type="paragraph" w:styleId="Kommentartext">
    <w:name w:val="annotation text"/>
    <w:basedOn w:val="Standard"/>
    <w:link w:val="KommentartextZchn"/>
    <w:uiPriority w:val="99"/>
    <w:unhideWhenUsed/>
    <w:rsid w:val="00506342"/>
    <w:pPr>
      <w:spacing w:line="240" w:lineRule="auto"/>
    </w:pPr>
    <w:rPr>
      <w:sz w:val="20"/>
      <w:szCs w:val="18"/>
    </w:rPr>
  </w:style>
  <w:style w:type="character" w:customStyle="1" w:styleId="KommentartextZchn">
    <w:name w:val="Kommentartext Zchn"/>
    <w:basedOn w:val="Absatz-Standardschriftart"/>
    <w:link w:val="Kommentartext"/>
    <w:uiPriority w:val="99"/>
    <w:rsid w:val="00506342"/>
    <w:rPr>
      <w:rFonts w:ascii="Calibri" w:eastAsia="Calibri" w:hAnsi="Calibri" w:cs="Calibri"/>
      <w:kern w:val="0"/>
      <w:sz w:val="20"/>
      <w:szCs w:val="18"/>
      <w:lang w:val="en-GB" w:eastAsia="de-DE" w:bidi="ne-NP"/>
      <w14:ligatures w14:val="none"/>
    </w:rPr>
  </w:style>
  <w:style w:type="paragraph" w:styleId="Kommentarthema">
    <w:name w:val="annotation subject"/>
    <w:basedOn w:val="Kommentartext"/>
    <w:next w:val="Kommentartext"/>
    <w:link w:val="KommentarthemaZchn"/>
    <w:uiPriority w:val="99"/>
    <w:semiHidden/>
    <w:unhideWhenUsed/>
    <w:rsid w:val="00506342"/>
    <w:rPr>
      <w:b/>
      <w:bCs/>
    </w:rPr>
  </w:style>
  <w:style w:type="character" w:customStyle="1" w:styleId="KommentarthemaZchn">
    <w:name w:val="Kommentarthema Zchn"/>
    <w:basedOn w:val="KommentartextZchn"/>
    <w:link w:val="Kommentarthema"/>
    <w:uiPriority w:val="99"/>
    <w:semiHidden/>
    <w:rsid w:val="00506342"/>
    <w:rPr>
      <w:rFonts w:ascii="Calibri" w:eastAsia="Calibri" w:hAnsi="Calibri" w:cs="Calibri"/>
      <w:b/>
      <w:bCs/>
      <w:kern w:val="0"/>
      <w:sz w:val="20"/>
      <w:szCs w:val="18"/>
      <w:lang w:val="en-GB" w:eastAsia="de-DE" w:bidi="ne-NP"/>
      <w14:ligatures w14:val="none"/>
    </w:rPr>
  </w:style>
  <w:style w:type="paragraph" w:styleId="StandardWeb">
    <w:name w:val="Normal (Web)"/>
    <w:basedOn w:val="Standard"/>
    <w:uiPriority w:val="99"/>
    <w:semiHidden/>
    <w:unhideWhenUsed/>
    <w:rsid w:val="00CF4A70"/>
    <w:pPr>
      <w:spacing w:before="100" w:beforeAutospacing="1" w:after="100" w:afterAutospacing="1" w:line="240" w:lineRule="auto"/>
    </w:pPr>
    <w:rPr>
      <w:rFonts w:ascii="Times New Roman" w:eastAsia="Times New Roman" w:hAnsi="Times New Roman" w:cs="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Zw9mFXYc4fw4JksMaSxwKVCUmyT8gOT/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ado\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41B9-9E45-054D-A861-1C929A5B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D:\agado\proCURE_Word_template.dotx</Template>
  <TotalTime>0</TotalTime>
  <Pages>10</Pages>
  <Words>2149</Words>
  <Characters>15844</Characters>
  <Application>Microsoft Office Word</Application>
  <DocSecurity>0</DocSecurity>
  <Lines>452</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docId:53EE603E0CAAACCFE6F91188B0F157C0</cp:keywords>
  <dc:description/>
  <cp:lastModifiedBy>Katharina Gasteiger</cp:lastModifiedBy>
  <cp:revision>3</cp:revision>
  <dcterms:created xsi:type="dcterms:W3CDTF">2026-04-30T12:54:00Z</dcterms:created>
  <dcterms:modified xsi:type="dcterms:W3CDTF">2026-04-30T12:59:00Z</dcterms:modified>
</cp:coreProperties>
</file>