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4ECE" w14:textId="78A96E28" w:rsidR="006441BD" w:rsidRPr="008C364D" w:rsidRDefault="0043583B" w:rsidP="004604F2">
      <w:pPr>
        <w:spacing w:after="0"/>
        <w:rPr>
          <w:rFonts w:ascii="Aptos Serif" w:eastAsiaTheme="majorEastAsia" w:hAnsi="Aptos Serif" w:cs="Aptos Serif"/>
          <w:color w:val="0F4761" w:themeColor="accent1" w:themeShade="BF"/>
          <w:sz w:val="40"/>
          <w:szCs w:val="40"/>
          <w:lang w:val="fr-FR"/>
        </w:rPr>
      </w:pPr>
      <w:r w:rsidRPr="008C364D">
        <w:rPr>
          <w:rFonts w:ascii="Aptos Serif" w:eastAsiaTheme="majorEastAsia" w:hAnsi="Aptos Serif" w:cs="Aptos Serif"/>
          <w:color w:val="0F4761" w:themeColor="accent1" w:themeShade="BF"/>
          <w:sz w:val="40"/>
          <w:szCs w:val="40"/>
          <w:lang w:val="fr-FR"/>
        </w:rPr>
        <w:t>Exercice relatif au module « Formation de formateurs »</w:t>
      </w:r>
    </w:p>
    <w:p w14:paraId="7F230E49" w14:textId="606ECEFC" w:rsidR="00FC3822" w:rsidRPr="008C364D" w:rsidRDefault="0043583B" w:rsidP="001F159E">
      <w:pPr>
        <w:rPr>
          <w:rFonts w:ascii="Aptos Serif" w:eastAsiaTheme="majorEastAsia" w:hAnsi="Aptos Serif" w:cs="Aptos Serif"/>
          <w:color w:val="0F4761" w:themeColor="accent1" w:themeShade="BF"/>
          <w:sz w:val="40"/>
          <w:szCs w:val="40"/>
          <w:lang w:val="fr-FR"/>
        </w:rPr>
      </w:pPr>
      <w:r w:rsidRPr="008C364D">
        <w:rPr>
          <w:rFonts w:ascii="Aptos Serif" w:eastAsiaTheme="majorEastAsia" w:hAnsi="Aptos Serif" w:cs="Aptos Serif"/>
          <w:color w:val="0F4761" w:themeColor="accent1" w:themeShade="BF"/>
          <w:sz w:val="40"/>
          <w:szCs w:val="40"/>
          <w:lang w:val="fr-FR"/>
        </w:rPr>
        <w:t>« Cadre juridique et politique »</w:t>
      </w:r>
    </w:p>
    <w:p w14:paraId="185FD02C" w14:textId="29DAB654" w:rsidR="00FC3822" w:rsidRPr="008C364D" w:rsidRDefault="0043583B" w:rsidP="001F159E">
      <w:pPr>
        <w:rPr>
          <w:b/>
          <w:bCs/>
          <w:lang w:val="fr-FR"/>
        </w:rPr>
      </w:pPr>
      <w:r w:rsidRPr="008C364D">
        <w:rPr>
          <w:b/>
          <w:bCs/>
          <w:lang w:val="fr-FR"/>
        </w:rPr>
        <w:t xml:space="preserve"> « Durabilité des appels d’offres - irréprochable sur le plan juridique »</w:t>
      </w:r>
    </w:p>
    <w:p w14:paraId="5CD4236F" w14:textId="60F8B57A" w:rsidR="001F159E" w:rsidRPr="008C364D" w:rsidRDefault="001F159E" w:rsidP="001F159E">
      <w:pPr>
        <w:rPr>
          <w:lang w:val="fr-FR"/>
        </w:rPr>
      </w:pPr>
      <w:r w:rsidRPr="008C364D">
        <w:rPr>
          <w:b/>
          <w:bCs/>
          <w:lang w:val="fr-FR"/>
        </w:rPr>
        <w:t>Modul</w:t>
      </w:r>
      <w:r w:rsidR="0043583B" w:rsidRPr="008C364D">
        <w:rPr>
          <w:b/>
          <w:bCs/>
          <w:lang w:val="fr-FR"/>
        </w:rPr>
        <w:t xml:space="preserve">e </w:t>
      </w:r>
      <w:r w:rsidRPr="008C364D">
        <w:rPr>
          <w:b/>
          <w:bCs/>
          <w:lang w:val="fr-FR"/>
        </w:rPr>
        <w:t>:</w:t>
      </w:r>
      <w:r w:rsidRPr="008C364D">
        <w:rPr>
          <w:lang w:val="fr-FR"/>
        </w:rPr>
        <w:t xml:space="preserve"> </w:t>
      </w:r>
      <w:r w:rsidR="0043583B" w:rsidRPr="008C364D">
        <w:rPr>
          <w:lang w:val="fr-FR"/>
        </w:rPr>
        <w:t>Cadre juridique et politique</w:t>
      </w:r>
      <w:r w:rsidRPr="008C364D">
        <w:rPr>
          <w:lang w:val="fr-FR"/>
        </w:rPr>
        <w:br/>
      </w:r>
      <w:r w:rsidR="00FC3822" w:rsidRPr="008C364D">
        <w:rPr>
          <w:b/>
          <w:bCs/>
          <w:lang w:val="fr-FR"/>
        </w:rPr>
        <w:t>Du</w:t>
      </w:r>
      <w:r w:rsidR="0043583B" w:rsidRPr="008C364D">
        <w:rPr>
          <w:b/>
          <w:bCs/>
          <w:lang w:val="fr-FR"/>
        </w:rPr>
        <w:t xml:space="preserve">rée </w:t>
      </w:r>
      <w:r w:rsidRPr="008C364D">
        <w:rPr>
          <w:b/>
          <w:bCs/>
          <w:lang w:val="fr-FR"/>
        </w:rPr>
        <w:t>:</w:t>
      </w:r>
      <w:r w:rsidRPr="008C364D">
        <w:rPr>
          <w:lang w:val="fr-FR"/>
        </w:rPr>
        <w:t xml:space="preserve"> </w:t>
      </w:r>
      <w:r w:rsidR="002B43FA" w:rsidRPr="008C364D">
        <w:rPr>
          <w:lang w:val="fr-FR"/>
        </w:rPr>
        <w:t>30</w:t>
      </w:r>
      <w:r w:rsidRPr="008C364D">
        <w:rPr>
          <w:lang w:val="fr-FR"/>
        </w:rPr>
        <w:t xml:space="preserve"> </w:t>
      </w:r>
      <w:r w:rsidR="0043583B" w:rsidRPr="008C364D">
        <w:rPr>
          <w:lang w:val="fr-FR"/>
        </w:rPr>
        <w:t>m</w:t>
      </w:r>
      <w:r w:rsidR="00FC3822" w:rsidRPr="008C364D">
        <w:rPr>
          <w:lang w:val="fr-FR"/>
        </w:rPr>
        <w:t>inute</w:t>
      </w:r>
      <w:r w:rsidR="0043583B" w:rsidRPr="008C364D">
        <w:rPr>
          <w:lang w:val="fr-FR"/>
        </w:rPr>
        <w:t>s</w:t>
      </w:r>
      <w:r w:rsidRPr="008C364D">
        <w:rPr>
          <w:lang w:val="fr-FR"/>
        </w:rPr>
        <w:br/>
      </w:r>
      <w:r w:rsidR="0043583B" w:rsidRPr="008C364D">
        <w:rPr>
          <w:b/>
          <w:bCs/>
          <w:lang w:val="fr-FR"/>
        </w:rPr>
        <w:t xml:space="preserve">Taille du groupe </w:t>
      </w:r>
      <w:r w:rsidRPr="008C364D">
        <w:rPr>
          <w:b/>
          <w:bCs/>
          <w:lang w:val="fr-FR"/>
        </w:rPr>
        <w:t>:</w:t>
      </w:r>
      <w:r w:rsidRPr="008C364D">
        <w:rPr>
          <w:lang w:val="fr-FR"/>
        </w:rPr>
        <w:t xml:space="preserve"> </w:t>
      </w:r>
      <w:r w:rsidR="0043583B" w:rsidRPr="008C364D">
        <w:rPr>
          <w:lang w:val="fr-FR"/>
        </w:rPr>
        <w:t xml:space="preserve">selon le nombre de </w:t>
      </w:r>
      <w:bookmarkStart w:id="0" w:name="_Hlk217377304"/>
      <w:proofErr w:type="spellStart"/>
      <w:r w:rsidR="0043583B" w:rsidRPr="008C364D">
        <w:rPr>
          <w:lang w:val="fr-FR"/>
        </w:rPr>
        <w:t>participant·e·s</w:t>
      </w:r>
      <w:proofErr w:type="spellEnd"/>
      <w:r w:rsidR="00FC3822" w:rsidRPr="008C364D">
        <w:rPr>
          <w:lang w:val="fr-FR"/>
        </w:rPr>
        <w:t xml:space="preserve"> </w:t>
      </w:r>
      <w:bookmarkEnd w:id="0"/>
      <w:r w:rsidR="00FC3822" w:rsidRPr="008C364D">
        <w:rPr>
          <w:lang w:val="fr-FR"/>
        </w:rPr>
        <w:t xml:space="preserve">(3–5 </w:t>
      </w:r>
      <w:proofErr w:type="spellStart"/>
      <w:r w:rsidR="0043583B" w:rsidRPr="008C364D">
        <w:rPr>
          <w:lang w:val="fr-FR"/>
        </w:rPr>
        <w:t>participant·e·s</w:t>
      </w:r>
      <w:proofErr w:type="spellEnd"/>
      <w:r w:rsidR="00FC3822" w:rsidRPr="008C364D">
        <w:rPr>
          <w:lang w:val="fr-FR"/>
        </w:rPr>
        <w:t xml:space="preserve"> p</w:t>
      </w:r>
      <w:r w:rsidR="0043583B" w:rsidRPr="008C364D">
        <w:rPr>
          <w:lang w:val="fr-FR"/>
        </w:rPr>
        <w:t>ar</w:t>
      </w:r>
      <w:r w:rsidR="00FC3822" w:rsidRPr="008C364D">
        <w:rPr>
          <w:lang w:val="fr-FR"/>
        </w:rPr>
        <w:t xml:space="preserve"> </w:t>
      </w:r>
      <w:r w:rsidR="0043583B" w:rsidRPr="008C364D">
        <w:rPr>
          <w:lang w:val="fr-FR"/>
        </w:rPr>
        <w:t>g</w:t>
      </w:r>
      <w:r w:rsidR="00FC3822" w:rsidRPr="008C364D">
        <w:rPr>
          <w:lang w:val="fr-FR"/>
        </w:rPr>
        <w:t>r</w:t>
      </w:r>
      <w:r w:rsidR="0043583B" w:rsidRPr="008C364D">
        <w:rPr>
          <w:lang w:val="fr-FR"/>
        </w:rPr>
        <w:t>o</w:t>
      </w:r>
      <w:r w:rsidR="00FC3822" w:rsidRPr="008C364D">
        <w:rPr>
          <w:lang w:val="fr-FR"/>
        </w:rPr>
        <w:t>upe)</w:t>
      </w:r>
      <w:r w:rsidRPr="008C364D">
        <w:rPr>
          <w:lang w:val="fr-FR"/>
        </w:rPr>
        <w:br/>
      </w:r>
      <w:r w:rsidR="0043583B" w:rsidRPr="008C364D">
        <w:rPr>
          <w:b/>
          <w:bCs/>
          <w:lang w:val="fr-FR"/>
        </w:rPr>
        <w:t xml:space="preserve">Objectif </w:t>
      </w:r>
      <w:r w:rsidRPr="008C364D">
        <w:rPr>
          <w:b/>
          <w:bCs/>
          <w:lang w:val="fr-FR"/>
        </w:rPr>
        <w:t xml:space="preserve">: </w:t>
      </w:r>
      <w:r w:rsidR="0043583B" w:rsidRPr="008C364D">
        <w:rPr>
          <w:lang w:val="fr-FR"/>
        </w:rPr>
        <w:t xml:space="preserve">les </w:t>
      </w:r>
      <w:proofErr w:type="spellStart"/>
      <w:r w:rsidR="0043583B" w:rsidRPr="008C364D">
        <w:rPr>
          <w:lang w:val="fr-FR"/>
        </w:rPr>
        <w:t>participant·e·s</w:t>
      </w:r>
      <w:proofErr w:type="spellEnd"/>
      <w:r w:rsidR="0043583B" w:rsidRPr="008C364D">
        <w:rPr>
          <w:lang w:val="fr-FR"/>
        </w:rPr>
        <w:t xml:space="preserve"> apprendront à identifier les possibilités légales d’inclure des critères de durabilité dans le dossier d’appel d’offres et à faire la distinction entre les pratiques juridiquement irréprochables et celles qui sont risquées ou illégales.</w:t>
      </w:r>
    </w:p>
    <w:p w14:paraId="74D3AA31" w14:textId="617BE7E7" w:rsidR="001F159E" w:rsidRPr="008C364D" w:rsidRDefault="001F159E" w:rsidP="00702CC3">
      <w:pPr>
        <w:pStyle w:val="berschrift2"/>
        <w:rPr>
          <w:rFonts w:asciiTheme="minorHAnsi" w:hAnsiTheme="minorHAnsi"/>
          <w:lang w:val="fr-FR"/>
        </w:rPr>
      </w:pPr>
      <w:r w:rsidRPr="008C364D">
        <w:rPr>
          <w:rFonts w:asciiTheme="minorHAnsi" w:hAnsiTheme="minorHAnsi"/>
          <w:lang w:val="fr-FR"/>
        </w:rPr>
        <w:t xml:space="preserve">1. </w:t>
      </w:r>
      <w:r w:rsidR="0043583B" w:rsidRPr="008C364D">
        <w:rPr>
          <w:rFonts w:asciiTheme="minorHAnsi" w:hAnsiTheme="minorHAnsi"/>
          <w:lang w:val="fr-FR"/>
        </w:rPr>
        <w:t>Objectifs d’apprentissage</w:t>
      </w:r>
    </w:p>
    <w:p w14:paraId="4543E540" w14:textId="77777777" w:rsidR="005F6D64" w:rsidRPr="008C364D" w:rsidRDefault="005F6D64" w:rsidP="007E61FC">
      <w:pPr>
        <w:rPr>
          <w:lang w:val="fr-FR"/>
        </w:rPr>
      </w:pPr>
      <w:r w:rsidRPr="008C364D">
        <w:rPr>
          <w:lang w:val="fr-FR"/>
        </w:rPr>
        <w:t>À la fin de l’exercice, les participants seront en mesure de :</w:t>
      </w:r>
    </w:p>
    <w:p w14:paraId="7E8B3C48" w14:textId="600B0724" w:rsidR="00CC0C3D" w:rsidRPr="008C364D" w:rsidRDefault="005F6D64" w:rsidP="00CC0C3D">
      <w:pPr>
        <w:pStyle w:val="Listenabsatz"/>
        <w:numPr>
          <w:ilvl w:val="0"/>
          <w:numId w:val="13"/>
        </w:numPr>
        <w:rPr>
          <w:lang w:val="fr-FR"/>
        </w:rPr>
      </w:pPr>
      <w:proofErr w:type="gramStart"/>
      <w:r w:rsidRPr="008C364D">
        <w:rPr>
          <w:lang w:val="fr-FR"/>
        </w:rPr>
        <w:t>identifier</w:t>
      </w:r>
      <w:proofErr w:type="gramEnd"/>
      <w:r w:rsidRPr="008C364D">
        <w:rPr>
          <w:lang w:val="fr-FR"/>
        </w:rPr>
        <w:t xml:space="preserve"> les phases du processus d’approvisionnement dans lesquelles la durabilité peut être intégrée (définition des besoins, spécifications techniques, critères d’attribution, clauses contractuelles) ;</w:t>
      </w:r>
    </w:p>
    <w:p w14:paraId="3F615F4E" w14:textId="65E9D0A9" w:rsidR="00CC0C3D" w:rsidRPr="008C364D" w:rsidRDefault="005F6D64" w:rsidP="00CC0C3D">
      <w:pPr>
        <w:pStyle w:val="Listenabsatz"/>
        <w:numPr>
          <w:ilvl w:val="0"/>
          <w:numId w:val="13"/>
        </w:numPr>
        <w:rPr>
          <w:lang w:val="fr-FR"/>
        </w:rPr>
      </w:pPr>
      <w:proofErr w:type="gramStart"/>
      <w:r w:rsidRPr="008C364D">
        <w:rPr>
          <w:lang w:val="fr-FR"/>
        </w:rPr>
        <w:t>évaluer</w:t>
      </w:r>
      <w:proofErr w:type="gramEnd"/>
      <w:r w:rsidRPr="008C364D">
        <w:rPr>
          <w:lang w:val="fr-FR"/>
        </w:rPr>
        <w:t xml:space="preserve"> si les critères de durabilité sont compatibles avec les principes du droit des marchés publics (non-discrimination, transparence, proportionnalité, égalité de traitement) ;</w:t>
      </w:r>
    </w:p>
    <w:p w14:paraId="6A2A239D" w14:textId="5BFD231F" w:rsidR="00CC0C3D" w:rsidRPr="008C364D" w:rsidRDefault="005F6D64" w:rsidP="00CC0C3D">
      <w:pPr>
        <w:pStyle w:val="Listenabsatz"/>
        <w:numPr>
          <w:ilvl w:val="0"/>
          <w:numId w:val="13"/>
        </w:numPr>
        <w:rPr>
          <w:lang w:val="fr-FR"/>
        </w:rPr>
      </w:pPr>
      <w:proofErr w:type="gramStart"/>
      <w:r w:rsidRPr="008C364D">
        <w:rPr>
          <w:lang w:val="fr-FR"/>
        </w:rPr>
        <w:t>formuler</w:t>
      </w:r>
      <w:proofErr w:type="gramEnd"/>
      <w:r w:rsidRPr="008C364D">
        <w:rPr>
          <w:lang w:val="fr-FR"/>
        </w:rPr>
        <w:t xml:space="preserve"> des exemples d’exigences de durabilité légitimes (à faire) et illicites</w:t>
      </w:r>
      <w:r w:rsidR="003B21C0" w:rsidRPr="008C364D">
        <w:rPr>
          <w:lang w:val="fr-FR"/>
        </w:rPr>
        <w:t xml:space="preserve"> </w:t>
      </w:r>
      <w:r w:rsidRPr="008C364D">
        <w:rPr>
          <w:lang w:val="fr-FR"/>
        </w:rPr>
        <w:t>(à ne pas faire) ;</w:t>
      </w:r>
    </w:p>
    <w:p w14:paraId="5F7C290E" w14:textId="229B3EC6" w:rsidR="00CC0C3D" w:rsidRPr="008C364D" w:rsidRDefault="005F6D64" w:rsidP="00CC0C3D">
      <w:pPr>
        <w:pStyle w:val="Listenabsatz"/>
        <w:numPr>
          <w:ilvl w:val="0"/>
          <w:numId w:val="13"/>
        </w:numPr>
        <w:rPr>
          <w:lang w:val="fr-FR"/>
        </w:rPr>
      </w:pPr>
      <w:proofErr w:type="gramStart"/>
      <w:r w:rsidRPr="008C364D">
        <w:rPr>
          <w:lang w:val="fr-FR"/>
        </w:rPr>
        <w:t>conseiller</w:t>
      </w:r>
      <w:proofErr w:type="gramEnd"/>
      <w:r w:rsidRPr="008C364D">
        <w:rPr>
          <w:lang w:val="fr-FR"/>
        </w:rPr>
        <w:t xml:space="preserve"> en toute sécurité d’autres personnes sur la manière dont les aspects de durabilité peuvent être pris en compte avec une certitude juridique.</w:t>
      </w:r>
      <w:r w:rsidR="00CC0C3D" w:rsidRPr="008C364D">
        <w:rPr>
          <w:lang w:val="fr-FR"/>
        </w:rPr>
        <w:t xml:space="preserve"> </w:t>
      </w:r>
    </w:p>
    <w:p w14:paraId="581EFF12" w14:textId="77777777" w:rsidR="00CC0C3D" w:rsidRPr="008C364D" w:rsidRDefault="00CC0C3D" w:rsidP="00CC0C3D">
      <w:pPr>
        <w:rPr>
          <w:lang w:val="fr-FR"/>
        </w:rPr>
      </w:pPr>
    </w:p>
    <w:p w14:paraId="1D27DAFA" w14:textId="146F8713" w:rsidR="001F159E" w:rsidRPr="008C364D" w:rsidRDefault="001F159E" w:rsidP="00CC0C3D">
      <w:pPr>
        <w:pStyle w:val="berschrift2"/>
        <w:rPr>
          <w:rFonts w:asciiTheme="minorHAnsi" w:hAnsiTheme="minorHAnsi"/>
          <w:lang w:val="fr-FR"/>
        </w:rPr>
      </w:pPr>
      <w:r w:rsidRPr="008C364D">
        <w:rPr>
          <w:rFonts w:asciiTheme="minorHAnsi" w:hAnsiTheme="minorHAnsi"/>
          <w:lang w:val="fr-FR"/>
        </w:rPr>
        <w:t xml:space="preserve">2. </w:t>
      </w:r>
      <w:r w:rsidR="005F6D64" w:rsidRPr="008C364D">
        <w:rPr>
          <w:rFonts w:asciiTheme="minorHAnsi" w:hAnsiTheme="minorHAnsi"/>
          <w:lang w:val="fr-FR"/>
        </w:rPr>
        <w:t>Structure de l’exercice</w:t>
      </w:r>
    </w:p>
    <w:p w14:paraId="552460A2" w14:textId="77777777" w:rsidR="006D3E8F" w:rsidRPr="008C364D" w:rsidRDefault="006D3E8F" w:rsidP="006D3E8F">
      <w:pPr>
        <w:rPr>
          <w:lang w:val="fr-FR"/>
        </w:rPr>
      </w:pPr>
      <w:r w:rsidRPr="008C364D">
        <w:rPr>
          <w:b/>
          <w:bCs/>
          <w:lang w:val="fr-FR"/>
        </w:rPr>
        <w:t>Matériel nécessaire :</w:t>
      </w:r>
    </w:p>
    <w:p w14:paraId="7C466714" w14:textId="11578180" w:rsidR="005F6D64" w:rsidRPr="008C364D" w:rsidRDefault="005F6D64" w:rsidP="005F6D64">
      <w:pPr>
        <w:rPr>
          <w:lang w:val="fr-FR"/>
        </w:rPr>
      </w:pPr>
      <w:r w:rsidRPr="008C364D">
        <w:rPr>
          <w:lang w:val="fr-FR"/>
        </w:rPr>
        <w:t>• fiche avec 3 exemples courts (fictifs, mais réalistes).</w:t>
      </w:r>
    </w:p>
    <w:p w14:paraId="33ED5E68" w14:textId="7C28EB90" w:rsidR="005F6D64" w:rsidRPr="008C364D" w:rsidRDefault="005F6D64" w:rsidP="005F6D64">
      <w:pPr>
        <w:rPr>
          <w:lang w:val="fr-FR"/>
        </w:rPr>
      </w:pPr>
      <w:r w:rsidRPr="008C364D">
        <w:rPr>
          <w:lang w:val="fr-FR"/>
        </w:rPr>
        <w:t xml:space="preserve">• </w:t>
      </w:r>
      <w:r w:rsidR="006D3E8F" w:rsidRPr="008C364D">
        <w:rPr>
          <w:lang w:val="fr-FR"/>
        </w:rPr>
        <w:t xml:space="preserve">Tableau à feuilles </w:t>
      </w:r>
      <w:r w:rsidRPr="008C364D">
        <w:rPr>
          <w:lang w:val="fr-FR"/>
        </w:rPr>
        <w:t>ou tableau blanc en ligne pour les notes de groupe.</w:t>
      </w:r>
    </w:p>
    <w:p w14:paraId="40386DC5" w14:textId="7A3BED12" w:rsidR="006D3E8F" w:rsidRPr="008C364D" w:rsidRDefault="005F6D64" w:rsidP="004604F2">
      <w:pPr>
        <w:rPr>
          <w:lang w:val="fr-FR"/>
        </w:rPr>
      </w:pPr>
      <w:r w:rsidRPr="008C364D">
        <w:rPr>
          <w:lang w:val="fr-FR"/>
        </w:rPr>
        <w:t xml:space="preserve">• Fiche de référence </w:t>
      </w:r>
      <w:r w:rsidR="006D3E8F" w:rsidRPr="008C364D">
        <w:rPr>
          <w:lang w:val="fr-FR"/>
        </w:rPr>
        <w:t>« </w:t>
      </w:r>
      <w:r w:rsidRPr="008C364D">
        <w:rPr>
          <w:lang w:val="fr-FR"/>
        </w:rPr>
        <w:t>À faire et à ne pas faire</w:t>
      </w:r>
      <w:r w:rsidR="006D3E8F" w:rsidRPr="008C364D">
        <w:rPr>
          <w:lang w:val="fr-FR"/>
        </w:rPr>
        <w:t> »</w:t>
      </w:r>
      <w:r w:rsidRPr="008C364D">
        <w:rPr>
          <w:lang w:val="fr-FR"/>
        </w:rPr>
        <w:t xml:space="preserve"> (mise à disposition par le formateur après l’exercice).</w:t>
      </w:r>
      <w:r w:rsidR="001F159E" w:rsidRPr="008C364D">
        <w:rPr>
          <w:lang w:val="fr-FR"/>
        </w:rPr>
        <w:t xml:space="preserve">3. </w:t>
      </w:r>
      <w:r w:rsidR="006D3E8F" w:rsidRPr="008C364D">
        <w:rPr>
          <w:lang w:val="fr-FR"/>
        </w:rPr>
        <w:t>Instructions étape par étape</w:t>
      </w:r>
    </w:p>
    <w:p w14:paraId="4FD7F2DC" w14:textId="77777777" w:rsidR="006D3E8F" w:rsidRPr="008C364D" w:rsidRDefault="006D3E8F" w:rsidP="006D3E8F">
      <w:pPr>
        <w:pStyle w:val="berschrift2"/>
        <w:spacing w:before="360"/>
        <w:rPr>
          <w:rFonts w:asciiTheme="minorHAnsi" w:hAnsiTheme="minorHAnsi"/>
          <w:lang w:val="fr-FR"/>
        </w:rPr>
      </w:pPr>
      <w:r w:rsidRPr="008C364D">
        <w:rPr>
          <w:rFonts w:asciiTheme="minorHAnsi" w:hAnsiTheme="minorHAnsi"/>
          <w:lang w:val="fr-FR"/>
        </w:rPr>
        <w:t>Étape 1 Travail de groupe (15 min)</w:t>
      </w:r>
    </w:p>
    <w:p w14:paraId="3F9118D9" w14:textId="15BF0039" w:rsidR="009C0E63" w:rsidRPr="008C364D" w:rsidRDefault="006D3E8F" w:rsidP="006D3E8F">
      <w:pPr>
        <w:pStyle w:val="berschrift2"/>
        <w:spacing w:before="360"/>
        <w:rPr>
          <w:rFonts w:asciiTheme="minorHAnsi" w:eastAsiaTheme="minorHAnsi" w:hAnsiTheme="minorHAnsi" w:cstheme="minorBidi"/>
          <w:color w:val="auto"/>
          <w:sz w:val="22"/>
          <w:szCs w:val="22"/>
          <w:lang w:val="fr-FR"/>
        </w:rPr>
      </w:pPr>
      <w:r w:rsidRPr="008C364D">
        <w:rPr>
          <w:rFonts w:asciiTheme="minorHAnsi" w:hAnsiTheme="minorHAnsi"/>
          <w:sz w:val="22"/>
          <w:szCs w:val="22"/>
          <w:lang w:val="fr-FR"/>
        </w:rPr>
        <w:t xml:space="preserve">Chaque groupe reçoit deux mini-scénarios </w:t>
      </w:r>
      <w:r w:rsidR="007E61FC" w:rsidRPr="008C364D">
        <w:rPr>
          <w:rFonts w:asciiTheme="minorHAnsi" w:hAnsiTheme="minorHAnsi"/>
          <w:sz w:val="22"/>
          <w:szCs w:val="22"/>
          <w:lang w:val="fr-FR"/>
        </w:rPr>
        <w:t>de mise en concurrence</w:t>
      </w:r>
      <w:r w:rsidRPr="008C364D">
        <w:rPr>
          <w:rFonts w:asciiTheme="minorHAnsi" w:hAnsiTheme="minorHAnsi"/>
          <w:sz w:val="22"/>
          <w:szCs w:val="22"/>
          <w:lang w:val="fr-FR"/>
        </w:rPr>
        <w:t>, voir le document ci-dessous.</w:t>
      </w:r>
    </w:p>
    <w:p w14:paraId="5FE4D18D" w14:textId="13099191" w:rsidR="001F159E" w:rsidRPr="008C364D" w:rsidRDefault="006D3E8F" w:rsidP="009C0E63">
      <w:pPr>
        <w:tabs>
          <w:tab w:val="num" w:pos="1440"/>
        </w:tabs>
        <w:rPr>
          <w:lang w:val="fr-FR"/>
        </w:rPr>
      </w:pPr>
      <w:r w:rsidRPr="008C364D">
        <w:rPr>
          <w:b/>
          <w:bCs/>
          <w:lang w:val="fr-FR"/>
        </w:rPr>
        <w:t>Travail de groupe :</w:t>
      </w:r>
    </w:p>
    <w:p w14:paraId="48B8F333" w14:textId="119D1D8E" w:rsidR="009C0E63" w:rsidRPr="008C364D" w:rsidRDefault="006D3E8F" w:rsidP="009C0E63">
      <w:pPr>
        <w:numPr>
          <w:ilvl w:val="0"/>
          <w:numId w:val="4"/>
        </w:numPr>
        <w:rPr>
          <w:lang w:val="fr-FR"/>
        </w:rPr>
      </w:pPr>
      <w:r w:rsidRPr="008C364D">
        <w:rPr>
          <w:lang w:val="fr-FR"/>
        </w:rPr>
        <w:lastRenderedPageBreak/>
        <w:t>Identification :</w:t>
      </w:r>
      <w:r w:rsidR="001F159E" w:rsidRPr="008C364D">
        <w:rPr>
          <w:lang w:val="fr-FR"/>
        </w:rPr>
        <w:br/>
      </w:r>
      <w:r w:rsidR="009C0E63" w:rsidRPr="008C364D">
        <w:rPr>
          <w:lang w:val="fr-FR"/>
        </w:rPr>
        <w:t xml:space="preserve">a) </w:t>
      </w:r>
      <w:r w:rsidRPr="008C364D">
        <w:rPr>
          <w:lang w:val="fr-FR"/>
        </w:rPr>
        <w:t xml:space="preserve">La phase dans laquelle la durabilité est prise en compte (spécifications, attribution, </w:t>
      </w:r>
      <w:r w:rsidR="007E61FC" w:rsidRPr="008C364D">
        <w:rPr>
          <w:lang w:val="fr-FR"/>
        </w:rPr>
        <w:t>mise en œuvre</w:t>
      </w:r>
      <w:r w:rsidRPr="008C364D">
        <w:rPr>
          <w:lang w:val="fr-FR"/>
        </w:rPr>
        <w:t>, etc.).</w:t>
      </w:r>
    </w:p>
    <w:p w14:paraId="4D2588D2" w14:textId="77777777" w:rsidR="006D3E8F" w:rsidRPr="008C364D" w:rsidRDefault="009C0E63" w:rsidP="009C0E63">
      <w:pPr>
        <w:numPr>
          <w:ilvl w:val="0"/>
          <w:numId w:val="4"/>
        </w:numPr>
        <w:rPr>
          <w:lang w:val="fr-FR"/>
        </w:rPr>
      </w:pPr>
      <w:r w:rsidRPr="008C364D">
        <w:rPr>
          <w:lang w:val="fr-FR"/>
        </w:rPr>
        <w:t xml:space="preserve">b) </w:t>
      </w:r>
      <w:r w:rsidR="006D3E8F" w:rsidRPr="008C364D">
        <w:rPr>
          <w:lang w:val="fr-FR"/>
        </w:rPr>
        <w:t>Si cela est légalement autorisé, douteux ou inadmissible - et pourquoi.</w:t>
      </w:r>
    </w:p>
    <w:p w14:paraId="6847EB22" w14:textId="2731DD77" w:rsidR="001F159E" w:rsidRPr="008C364D" w:rsidRDefault="009C0E63" w:rsidP="009C0E63">
      <w:pPr>
        <w:numPr>
          <w:ilvl w:val="0"/>
          <w:numId w:val="4"/>
        </w:numPr>
        <w:rPr>
          <w:lang w:val="fr-FR"/>
        </w:rPr>
      </w:pPr>
      <w:r w:rsidRPr="008C364D">
        <w:rPr>
          <w:lang w:val="fr-FR"/>
        </w:rPr>
        <w:t xml:space="preserve">c) </w:t>
      </w:r>
      <w:r w:rsidR="006D3E8F" w:rsidRPr="008C364D">
        <w:rPr>
          <w:lang w:val="fr-FR"/>
        </w:rPr>
        <w:t>Propositions de reformulation ou d’adaptation du texte afin de le rendre juridiquement irréprochable.</w:t>
      </w:r>
    </w:p>
    <w:p w14:paraId="068C4301" w14:textId="77777777" w:rsidR="006734DE" w:rsidRPr="008C364D" w:rsidRDefault="006734DE" w:rsidP="001F159E">
      <w:pPr>
        <w:rPr>
          <w:rStyle w:val="berschrift3Zchn"/>
          <w:lang w:val="fr-FR"/>
        </w:rPr>
      </w:pPr>
    </w:p>
    <w:p w14:paraId="3833E899" w14:textId="632E6E09" w:rsidR="006D3E8F" w:rsidRPr="008C364D" w:rsidRDefault="006D3E8F" w:rsidP="006D3E8F">
      <w:pPr>
        <w:rPr>
          <w:rStyle w:val="berschrift3Zchn"/>
          <w:lang w:val="fr-FR"/>
        </w:rPr>
      </w:pPr>
      <w:r w:rsidRPr="008C364D">
        <w:rPr>
          <w:rStyle w:val="berschrift3Zchn"/>
          <w:lang w:val="fr-FR"/>
        </w:rPr>
        <w:t>Étape</w:t>
      </w:r>
      <w:r w:rsidR="001F159E" w:rsidRPr="008C364D">
        <w:rPr>
          <w:rStyle w:val="berschrift3Zchn"/>
          <w:lang w:val="fr-FR"/>
        </w:rPr>
        <w:t xml:space="preserve"> </w:t>
      </w:r>
      <w:r w:rsidR="0082385F" w:rsidRPr="008C364D">
        <w:rPr>
          <w:rStyle w:val="berschrift3Zchn"/>
          <w:lang w:val="fr-FR"/>
        </w:rPr>
        <w:t>2</w:t>
      </w:r>
      <w:r w:rsidR="001F159E" w:rsidRPr="008C364D">
        <w:rPr>
          <w:rStyle w:val="berschrift3Zchn"/>
          <w:lang w:val="fr-FR"/>
        </w:rPr>
        <w:t xml:space="preserve"> —</w:t>
      </w:r>
      <w:r w:rsidRPr="008C364D">
        <w:rPr>
          <w:rStyle w:val="berschrift3Zchn"/>
          <w:lang w:val="fr-FR"/>
        </w:rPr>
        <w:t>Débriefing (10 min)</w:t>
      </w:r>
    </w:p>
    <w:p w14:paraId="69D486F4" w14:textId="00149D3A" w:rsidR="001F159E" w:rsidRPr="008C364D" w:rsidRDefault="006D3E8F" w:rsidP="004604F2">
      <w:pPr>
        <w:spacing w:after="0"/>
        <w:rPr>
          <w:lang w:val="fr-FR"/>
        </w:rPr>
      </w:pPr>
      <w:r w:rsidRPr="008C364D">
        <w:rPr>
          <w:rStyle w:val="berschrift3Zchn"/>
          <w:sz w:val="22"/>
          <w:szCs w:val="22"/>
          <w:lang w:val="fr-FR"/>
        </w:rPr>
        <w:t xml:space="preserve">Les groupes présentent leurs résultats ; le formateur anime la discussion à l’aide du tableau </w:t>
      </w:r>
      <w:r w:rsidR="009B302C" w:rsidRPr="008C364D">
        <w:rPr>
          <w:rStyle w:val="berschrift3Zchn"/>
          <w:sz w:val="22"/>
          <w:szCs w:val="22"/>
          <w:lang w:val="fr-FR"/>
        </w:rPr>
        <w:t>« </w:t>
      </w:r>
      <w:r w:rsidRPr="008C364D">
        <w:rPr>
          <w:rStyle w:val="berschrift3Zchn"/>
          <w:sz w:val="22"/>
          <w:szCs w:val="22"/>
          <w:lang w:val="fr-FR"/>
        </w:rPr>
        <w:t>Ce qu’il faut faire et ce qu’il ne faut pas faire</w:t>
      </w:r>
      <w:r w:rsidR="009B302C" w:rsidRPr="008C364D">
        <w:rPr>
          <w:rStyle w:val="berschrift3Zchn"/>
          <w:sz w:val="22"/>
          <w:szCs w:val="22"/>
          <w:lang w:val="fr-FR"/>
        </w:rPr>
        <w:t xml:space="preserve"> » </w:t>
      </w:r>
      <w:r w:rsidRPr="008C364D">
        <w:rPr>
          <w:rStyle w:val="berschrift3Zchn"/>
          <w:sz w:val="22"/>
          <w:szCs w:val="22"/>
          <w:lang w:val="fr-FR"/>
        </w:rPr>
        <w:t>:</w:t>
      </w:r>
      <w:r w:rsidR="001F159E" w:rsidRPr="008C364D">
        <w:rPr>
          <w:lang w:val="fr-FR"/>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1"/>
        <w:gridCol w:w="4574"/>
        <w:gridCol w:w="2805"/>
      </w:tblGrid>
      <w:tr w:rsidR="00525A48" w:rsidRPr="008C364D" w14:paraId="4E087824" w14:textId="77777777" w:rsidTr="0002448F">
        <w:trPr>
          <w:tblHeader/>
          <w:tblCellSpacing w:w="15" w:type="dxa"/>
        </w:trPr>
        <w:tc>
          <w:tcPr>
            <w:tcW w:w="0" w:type="auto"/>
            <w:vAlign w:val="center"/>
            <w:hideMark/>
          </w:tcPr>
          <w:p w14:paraId="194A1C3B" w14:textId="45D38C91" w:rsidR="001F159E" w:rsidRPr="008C364D" w:rsidRDefault="009B302C" w:rsidP="0002448F">
            <w:pPr>
              <w:rPr>
                <w:b/>
                <w:bCs/>
                <w:lang w:val="fr-FR"/>
              </w:rPr>
            </w:pPr>
            <w:r w:rsidRPr="008C364D">
              <w:rPr>
                <w:b/>
                <w:bCs/>
              </w:rPr>
              <w:t>Niveau</w:t>
            </w:r>
          </w:p>
        </w:tc>
        <w:tc>
          <w:tcPr>
            <w:tcW w:w="0" w:type="auto"/>
            <w:vAlign w:val="center"/>
            <w:hideMark/>
          </w:tcPr>
          <w:p w14:paraId="4B29B1E4" w14:textId="4684798B" w:rsidR="001F159E" w:rsidRPr="008C364D" w:rsidRDefault="009B302C" w:rsidP="0002448F">
            <w:pPr>
              <w:rPr>
                <w:b/>
                <w:bCs/>
                <w:lang w:val="fr-FR"/>
              </w:rPr>
            </w:pPr>
            <w:r w:rsidRPr="008C364D">
              <w:rPr>
                <w:b/>
                <w:bCs/>
                <w:lang w:val="fr-FR"/>
              </w:rPr>
              <w:t>Faire</w:t>
            </w:r>
            <w:r w:rsidR="001F159E" w:rsidRPr="008C364D">
              <w:rPr>
                <w:b/>
                <w:bCs/>
                <w:lang w:val="fr-FR"/>
              </w:rPr>
              <w:t xml:space="preserve"> (</w:t>
            </w:r>
            <w:r w:rsidRPr="008C364D">
              <w:rPr>
                <w:b/>
                <w:bCs/>
                <w:lang w:val="fr-FR"/>
              </w:rPr>
              <w:t>juridiquement sûr</w:t>
            </w:r>
            <w:r w:rsidR="001F159E" w:rsidRPr="008C364D">
              <w:rPr>
                <w:b/>
                <w:bCs/>
                <w:lang w:val="fr-FR"/>
              </w:rPr>
              <w:t>)</w:t>
            </w:r>
          </w:p>
        </w:tc>
        <w:tc>
          <w:tcPr>
            <w:tcW w:w="0" w:type="auto"/>
            <w:vAlign w:val="center"/>
            <w:hideMark/>
          </w:tcPr>
          <w:p w14:paraId="199A42FC" w14:textId="3D72B804" w:rsidR="001F159E" w:rsidRPr="008C364D" w:rsidRDefault="009B302C" w:rsidP="0002448F">
            <w:pPr>
              <w:rPr>
                <w:b/>
                <w:bCs/>
                <w:lang w:val="fr-FR"/>
              </w:rPr>
            </w:pPr>
            <w:r w:rsidRPr="008C364D">
              <w:rPr>
                <w:b/>
                <w:bCs/>
                <w:lang w:val="fr-FR"/>
              </w:rPr>
              <w:t>Ne pas faire</w:t>
            </w:r>
            <w:r w:rsidR="001F159E" w:rsidRPr="008C364D">
              <w:rPr>
                <w:b/>
                <w:bCs/>
                <w:lang w:val="fr-FR"/>
              </w:rPr>
              <w:t xml:space="preserve"> (</w:t>
            </w:r>
            <w:r w:rsidRPr="008C364D">
              <w:rPr>
                <w:b/>
                <w:bCs/>
                <w:lang w:val="fr-FR"/>
              </w:rPr>
              <w:t>r</w:t>
            </w:r>
            <w:r w:rsidR="00E95C06" w:rsidRPr="008C364D">
              <w:rPr>
                <w:b/>
                <w:bCs/>
                <w:lang w:val="fr-FR"/>
              </w:rPr>
              <w:t>is</w:t>
            </w:r>
            <w:r w:rsidRPr="008C364D">
              <w:rPr>
                <w:b/>
                <w:bCs/>
                <w:lang w:val="fr-FR"/>
              </w:rPr>
              <w:t>qué</w:t>
            </w:r>
            <w:r w:rsidR="00E95C06" w:rsidRPr="008C364D">
              <w:rPr>
                <w:b/>
                <w:bCs/>
                <w:lang w:val="fr-FR"/>
              </w:rPr>
              <w:t>/ ill</w:t>
            </w:r>
            <w:r w:rsidRPr="008C364D">
              <w:rPr>
                <w:b/>
                <w:bCs/>
                <w:lang w:val="fr-FR"/>
              </w:rPr>
              <w:t>é</w:t>
            </w:r>
            <w:r w:rsidR="00E95C06" w:rsidRPr="008C364D">
              <w:rPr>
                <w:b/>
                <w:bCs/>
                <w:lang w:val="fr-FR"/>
              </w:rPr>
              <w:t>gal</w:t>
            </w:r>
            <w:r w:rsidR="001F159E" w:rsidRPr="008C364D">
              <w:rPr>
                <w:b/>
                <w:bCs/>
                <w:lang w:val="fr-FR"/>
              </w:rPr>
              <w:t>)</w:t>
            </w:r>
          </w:p>
        </w:tc>
      </w:tr>
      <w:tr w:rsidR="00525A48" w:rsidRPr="008C364D" w14:paraId="6421EAA6" w14:textId="77777777" w:rsidTr="0002448F">
        <w:trPr>
          <w:tblCellSpacing w:w="15" w:type="dxa"/>
        </w:trPr>
        <w:tc>
          <w:tcPr>
            <w:tcW w:w="0" w:type="auto"/>
            <w:vAlign w:val="center"/>
            <w:hideMark/>
          </w:tcPr>
          <w:p w14:paraId="35F5D891" w14:textId="73A7C313" w:rsidR="001F159E" w:rsidRPr="008C364D" w:rsidRDefault="00E95C06" w:rsidP="0002448F">
            <w:pPr>
              <w:rPr>
                <w:lang w:val="fr-FR"/>
              </w:rPr>
            </w:pPr>
            <w:r w:rsidRPr="008C364D">
              <w:rPr>
                <w:lang w:val="fr-FR"/>
              </w:rPr>
              <w:t>D</w:t>
            </w:r>
            <w:r w:rsidR="009B302C" w:rsidRPr="008C364D">
              <w:rPr>
                <w:lang w:val="fr-FR"/>
              </w:rPr>
              <w:t>onnées techniques</w:t>
            </w:r>
          </w:p>
        </w:tc>
        <w:tc>
          <w:tcPr>
            <w:tcW w:w="0" w:type="auto"/>
            <w:vAlign w:val="center"/>
            <w:hideMark/>
          </w:tcPr>
          <w:p w14:paraId="33820433" w14:textId="38D51166" w:rsidR="001F159E" w:rsidRPr="008C364D" w:rsidRDefault="009B302C" w:rsidP="004604F2">
            <w:pPr>
              <w:spacing w:after="0"/>
              <w:rPr>
                <w:lang w:val="fr-FR"/>
              </w:rPr>
            </w:pPr>
            <w:r w:rsidRPr="008C364D">
              <w:rPr>
                <w:lang w:val="fr-FR"/>
              </w:rPr>
              <w:t>Si vous faites référence à des critères de performance ou fonctionnels (par exemple, faibles émissions), acceptez les équivalents.</w:t>
            </w:r>
          </w:p>
        </w:tc>
        <w:tc>
          <w:tcPr>
            <w:tcW w:w="0" w:type="auto"/>
            <w:vAlign w:val="center"/>
            <w:hideMark/>
          </w:tcPr>
          <w:p w14:paraId="1DE7E3FC" w14:textId="08238B5E" w:rsidR="001F159E" w:rsidRPr="008C364D" w:rsidRDefault="009B302C" w:rsidP="0002448F">
            <w:pPr>
              <w:rPr>
                <w:lang w:val="fr-FR"/>
              </w:rPr>
            </w:pPr>
            <w:r w:rsidRPr="008C364D">
              <w:rPr>
                <w:lang w:val="fr-FR"/>
              </w:rPr>
              <w:t>Une marque, un label ou une origine locale spécifique est nécessaire.</w:t>
            </w:r>
          </w:p>
        </w:tc>
      </w:tr>
      <w:tr w:rsidR="00525A48" w:rsidRPr="008C364D" w14:paraId="30462FFE" w14:textId="77777777" w:rsidTr="0002448F">
        <w:trPr>
          <w:tblCellSpacing w:w="15" w:type="dxa"/>
        </w:trPr>
        <w:tc>
          <w:tcPr>
            <w:tcW w:w="0" w:type="auto"/>
            <w:vAlign w:val="center"/>
            <w:hideMark/>
          </w:tcPr>
          <w:p w14:paraId="0433D3AD" w14:textId="0E77D4C8" w:rsidR="001F159E" w:rsidRPr="008C364D" w:rsidRDefault="009B302C" w:rsidP="0002448F">
            <w:pPr>
              <w:rPr>
                <w:lang w:val="fr-FR"/>
              </w:rPr>
            </w:pPr>
            <w:r w:rsidRPr="008C364D">
              <w:rPr>
                <w:lang w:val="fr-FR"/>
              </w:rPr>
              <w:t>Critères d’attribution</w:t>
            </w:r>
          </w:p>
        </w:tc>
        <w:tc>
          <w:tcPr>
            <w:tcW w:w="0" w:type="auto"/>
            <w:vAlign w:val="center"/>
            <w:hideMark/>
          </w:tcPr>
          <w:p w14:paraId="534C4081" w14:textId="215D21F2" w:rsidR="001F159E" w:rsidRPr="008C364D" w:rsidRDefault="009B302C" w:rsidP="0002448F">
            <w:pPr>
              <w:rPr>
                <w:lang w:val="fr-FR"/>
              </w:rPr>
            </w:pPr>
            <w:r w:rsidRPr="008C364D">
              <w:rPr>
                <w:lang w:val="fr-FR"/>
              </w:rPr>
              <w:t>Utilisez des critères de durabilité mesurables liés au thème.</w:t>
            </w:r>
          </w:p>
        </w:tc>
        <w:tc>
          <w:tcPr>
            <w:tcW w:w="0" w:type="auto"/>
            <w:vAlign w:val="center"/>
            <w:hideMark/>
          </w:tcPr>
          <w:p w14:paraId="2F537898" w14:textId="062E675D" w:rsidR="001F159E" w:rsidRPr="008C364D" w:rsidRDefault="00525A48" w:rsidP="004604F2">
            <w:pPr>
              <w:spacing w:before="240"/>
              <w:rPr>
                <w:lang w:val="fr-FR"/>
              </w:rPr>
            </w:pPr>
            <w:r w:rsidRPr="008C364D">
              <w:rPr>
                <w:lang w:val="fr-FR"/>
              </w:rPr>
              <w:t xml:space="preserve">Attribution de points pour les directives générales en matière de </w:t>
            </w:r>
            <w:r w:rsidR="00955663" w:rsidRPr="008C364D">
              <w:rPr>
                <w:lang w:val="fr-FR"/>
              </w:rPr>
              <w:t>CSR</w:t>
            </w:r>
            <w:r w:rsidRPr="008C364D">
              <w:rPr>
                <w:lang w:val="fr-FR"/>
              </w:rPr>
              <w:t>.</w:t>
            </w:r>
          </w:p>
        </w:tc>
      </w:tr>
      <w:tr w:rsidR="00525A48" w:rsidRPr="008C364D" w14:paraId="39F8214C" w14:textId="77777777" w:rsidTr="00015A7F">
        <w:trPr>
          <w:tblCellSpacing w:w="15" w:type="dxa"/>
        </w:trPr>
        <w:tc>
          <w:tcPr>
            <w:tcW w:w="0" w:type="auto"/>
            <w:vAlign w:val="center"/>
          </w:tcPr>
          <w:p w14:paraId="0FABF5C6" w14:textId="746DD88C" w:rsidR="00015A7F" w:rsidRPr="008C364D" w:rsidRDefault="009B302C" w:rsidP="00015A7F">
            <w:pPr>
              <w:rPr>
                <w:lang w:val="fr-FR"/>
              </w:rPr>
            </w:pPr>
            <w:r w:rsidRPr="008C364D">
              <w:rPr>
                <w:lang w:val="fr-FR"/>
              </w:rPr>
              <w:t>Critères de sélection</w:t>
            </w:r>
          </w:p>
        </w:tc>
        <w:tc>
          <w:tcPr>
            <w:tcW w:w="0" w:type="auto"/>
            <w:vAlign w:val="center"/>
          </w:tcPr>
          <w:p w14:paraId="53005FE1" w14:textId="53D1446D" w:rsidR="00015A7F" w:rsidRPr="008C364D" w:rsidRDefault="00525A48" w:rsidP="00015A7F">
            <w:pPr>
              <w:rPr>
                <w:lang w:val="fr-FR"/>
              </w:rPr>
            </w:pPr>
            <w:r w:rsidRPr="008C364D">
              <w:rPr>
                <w:lang w:val="fr-FR"/>
              </w:rPr>
              <w:t>Vérifiez les compétences techniques des fournisseurs (par exemple, EMS ou formation</w:t>
            </w:r>
            <w:r w:rsidR="00955663" w:rsidRPr="008C364D">
              <w:rPr>
                <w:lang w:val="fr-FR"/>
              </w:rPr>
              <w:t>s</w:t>
            </w:r>
            <w:r w:rsidRPr="008C364D">
              <w:rPr>
                <w:lang w:val="fr-FR"/>
              </w:rPr>
              <w:t xml:space="preserve">). </w:t>
            </w:r>
          </w:p>
        </w:tc>
        <w:tc>
          <w:tcPr>
            <w:tcW w:w="0" w:type="auto"/>
            <w:vAlign w:val="center"/>
          </w:tcPr>
          <w:p w14:paraId="506B285C" w14:textId="65EFEA17" w:rsidR="00015A7F" w:rsidRPr="008C364D" w:rsidRDefault="00525A48" w:rsidP="00015A7F">
            <w:pPr>
              <w:rPr>
                <w:lang w:val="fr-FR"/>
              </w:rPr>
            </w:pPr>
            <w:r w:rsidRPr="008C364D">
              <w:rPr>
                <w:lang w:val="fr-FR"/>
              </w:rPr>
              <w:t>Demande de certificats sans équivalence.</w:t>
            </w:r>
          </w:p>
        </w:tc>
      </w:tr>
      <w:tr w:rsidR="00525A48" w:rsidRPr="008C364D" w14:paraId="2D9B57AF" w14:textId="77777777" w:rsidTr="00015A7F">
        <w:trPr>
          <w:trHeight w:val="871"/>
          <w:tblCellSpacing w:w="15" w:type="dxa"/>
        </w:trPr>
        <w:tc>
          <w:tcPr>
            <w:tcW w:w="0" w:type="auto"/>
            <w:vAlign w:val="center"/>
          </w:tcPr>
          <w:p w14:paraId="1FE13D1C" w14:textId="482D193B" w:rsidR="00015A7F" w:rsidRPr="008C364D" w:rsidRDefault="00525A48" w:rsidP="00015A7F">
            <w:pPr>
              <w:rPr>
                <w:lang w:val="fr-FR"/>
              </w:rPr>
            </w:pPr>
            <w:r w:rsidRPr="008C364D">
              <w:rPr>
                <w:lang w:val="fr-FR"/>
              </w:rPr>
              <w:t>Clauses contractuelles</w:t>
            </w:r>
          </w:p>
        </w:tc>
        <w:tc>
          <w:tcPr>
            <w:tcW w:w="0" w:type="auto"/>
            <w:vAlign w:val="center"/>
          </w:tcPr>
          <w:p w14:paraId="1EF2194A" w14:textId="11C838C9" w:rsidR="00015A7F" w:rsidRPr="008C364D" w:rsidRDefault="00525A48" w:rsidP="00015A7F">
            <w:pPr>
              <w:rPr>
                <w:lang w:val="fr-FR"/>
              </w:rPr>
            </w:pPr>
            <w:r w:rsidRPr="008C364D">
              <w:rPr>
                <w:lang w:val="fr-FR"/>
              </w:rPr>
              <w:t>Prenez en compte des obligations de durabilité lors de l’exécution</w:t>
            </w:r>
          </w:p>
        </w:tc>
        <w:tc>
          <w:tcPr>
            <w:tcW w:w="0" w:type="auto"/>
            <w:vAlign w:val="center"/>
          </w:tcPr>
          <w:p w14:paraId="48C0F59D" w14:textId="4E38491D" w:rsidR="00015A7F" w:rsidRPr="008C364D" w:rsidRDefault="00525A48" w:rsidP="00015A7F">
            <w:pPr>
              <w:rPr>
                <w:lang w:val="fr-FR"/>
              </w:rPr>
            </w:pPr>
            <w:r w:rsidRPr="008C364D">
              <w:rPr>
                <w:lang w:val="fr-FR"/>
              </w:rPr>
              <w:t>Ajout de nouveaux critères après passation du marché</w:t>
            </w:r>
          </w:p>
        </w:tc>
      </w:tr>
    </w:tbl>
    <w:p w14:paraId="5E964988" w14:textId="77777777" w:rsidR="00311B19" w:rsidRPr="008C364D" w:rsidRDefault="00311B19" w:rsidP="001F159E">
      <w:pPr>
        <w:rPr>
          <w:rStyle w:val="berschrift3Zchn"/>
          <w:lang w:val="fr-FR"/>
        </w:rPr>
      </w:pPr>
    </w:p>
    <w:p w14:paraId="7F222C35" w14:textId="0635F451" w:rsidR="001F159E" w:rsidRPr="008C364D" w:rsidRDefault="00525A48" w:rsidP="00955663">
      <w:pPr>
        <w:spacing w:before="240"/>
        <w:rPr>
          <w:lang w:val="fr-FR"/>
        </w:rPr>
      </w:pPr>
      <w:r w:rsidRPr="008C364D">
        <w:rPr>
          <w:rStyle w:val="berschrift3Zchn"/>
          <w:lang w:val="fr-FR"/>
        </w:rPr>
        <w:t>Étape</w:t>
      </w:r>
      <w:r w:rsidR="001F159E" w:rsidRPr="008C364D">
        <w:rPr>
          <w:rStyle w:val="berschrift3Zchn"/>
          <w:lang w:val="fr-FR"/>
        </w:rPr>
        <w:t xml:space="preserve"> </w:t>
      </w:r>
      <w:r w:rsidR="00BE02A2" w:rsidRPr="008C364D">
        <w:rPr>
          <w:rStyle w:val="berschrift3Zchn"/>
          <w:lang w:val="fr-FR"/>
        </w:rPr>
        <w:t>3</w:t>
      </w:r>
      <w:r w:rsidR="001F159E" w:rsidRPr="008C364D">
        <w:rPr>
          <w:rStyle w:val="berschrift3Zchn"/>
          <w:lang w:val="fr-FR"/>
        </w:rPr>
        <w:t xml:space="preserve"> — </w:t>
      </w:r>
      <w:r w:rsidRPr="008C364D">
        <w:rPr>
          <w:rStyle w:val="berschrift3Zchn"/>
          <w:lang w:val="fr-FR"/>
        </w:rPr>
        <w:t>Résumé</w:t>
      </w:r>
      <w:r w:rsidR="001F159E" w:rsidRPr="008C364D">
        <w:rPr>
          <w:rStyle w:val="berschrift3Zchn"/>
          <w:lang w:val="fr-FR"/>
        </w:rPr>
        <w:t xml:space="preserve"> (5 </w:t>
      </w:r>
      <w:r w:rsidRPr="008C364D">
        <w:rPr>
          <w:rStyle w:val="berschrift3Zchn"/>
          <w:lang w:val="fr-FR"/>
        </w:rPr>
        <w:t>m</w:t>
      </w:r>
      <w:r w:rsidR="001F159E" w:rsidRPr="008C364D">
        <w:rPr>
          <w:rStyle w:val="berschrift3Zchn"/>
          <w:lang w:val="fr-FR"/>
        </w:rPr>
        <w:t>in)</w:t>
      </w:r>
      <w:r w:rsidR="001F159E" w:rsidRPr="008C364D">
        <w:rPr>
          <w:lang w:val="fr-FR"/>
        </w:rPr>
        <w:br/>
      </w:r>
      <w:r w:rsidRPr="008C364D">
        <w:rPr>
          <w:lang w:val="fr-FR"/>
        </w:rPr>
        <w:t>Résumé par le formateur :</w:t>
      </w:r>
    </w:p>
    <w:p w14:paraId="0966F6B0" w14:textId="77777777" w:rsidR="00525A48" w:rsidRPr="008C364D" w:rsidRDefault="00525A48" w:rsidP="00311B19">
      <w:pPr>
        <w:pStyle w:val="berschrift2"/>
        <w:numPr>
          <w:ilvl w:val="0"/>
          <w:numId w:val="15"/>
        </w:numPr>
        <w:rPr>
          <w:rFonts w:asciiTheme="minorHAnsi" w:eastAsiaTheme="minorHAnsi" w:hAnsiTheme="minorHAnsi" w:cstheme="minorBidi"/>
          <w:color w:val="auto"/>
          <w:sz w:val="22"/>
          <w:szCs w:val="22"/>
          <w:lang w:val="fr-FR"/>
        </w:rPr>
      </w:pPr>
      <w:r w:rsidRPr="008C364D">
        <w:rPr>
          <w:rFonts w:asciiTheme="minorHAnsi" w:eastAsiaTheme="minorHAnsi" w:hAnsiTheme="minorHAnsi" w:cstheme="minorBidi"/>
          <w:color w:val="auto"/>
          <w:sz w:val="22"/>
          <w:szCs w:val="22"/>
          <w:lang w:val="fr-FR"/>
        </w:rPr>
        <w:t>Aspects juridiques importants de la durabilité.</w:t>
      </w:r>
    </w:p>
    <w:p w14:paraId="54A19853" w14:textId="37921012" w:rsidR="00311B19" w:rsidRPr="008C364D" w:rsidRDefault="00525A48" w:rsidP="00311B19">
      <w:pPr>
        <w:pStyle w:val="berschrift2"/>
        <w:numPr>
          <w:ilvl w:val="0"/>
          <w:numId w:val="15"/>
        </w:numPr>
        <w:rPr>
          <w:rFonts w:asciiTheme="minorHAnsi" w:eastAsiaTheme="minorHAnsi" w:hAnsiTheme="minorHAnsi" w:cstheme="minorBidi"/>
          <w:color w:val="auto"/>
          <w:sz w:val="22"/>
          <w:szCs w:val="22"/>
          <w:lang w:val="fr-FR"/>
        </w:rPr>
      </w:pPr>
      <w:r w:rsidRPr="008C364D">
        <w:rPr>
          <w:rFonts w:asciiTheme="minorHAnsi" w:eastAsiaTheme="minorHAnsi" w:hAnsiTheme="minorHAnsi" w:cstheme="minorBidi"/>
          <w:color w:val="auto"/>
          <w:sz w:val="22"/>
          <w:szCs w:val="22"/>
          <w:lang w:val="fr-FR"/>
        </w:rPr>
        <w:t>« Règles d’or » : rapport au sujet, proportionnalité, possibilités de contrôle, transparence.</w:t>
      </w:r>
    </w:p>
    <w:p w14:paraId="77A558A5" w14:textId="193938CD" w:rsidR="00015A7F" w:rsidRPr="008C364D" w:rsidRDefault="00525A48" w:rsidP="00311B19">
      <w:pPr>
        <w:pStyle w:val="berschrift2"/>
        <w:numPr>
          <w:ilvl w:val="0"/>
          <w:numId w:val="15"/>
        </w:numPr>
        <w:rPr>
          <w:rFonts w:asciiTheme="minorHAnsi" w:eastAsiaTheme="minorHAnsi" w:hAnsiTheme="minorHAnsi" w:cstheme="minorBidi"/>
          <w:color w:val="auto"/>
          <w:sz w:val="22"/>
          <w:szCs w:val="22"/>
          <w:lang w:val="fr-FR"/>
        </w:rPr>
      </w:pPr>
      <w:r w:rsidRPr="008C364D">
        <w:rPr>
          <w:rFonts w:asciiTheme="minorHAnsi" w:eastAsiaTheme="minorHAnsi" w:hAnsiTheme="minorHAnsi" w:cstheme="minorBidi"/>
          <w:color w:val="auto"/>
          <w:sz w:val="22"/>
          <w:szCs w:val="22"/>
          <w:lang w:val="fr-FR"/>
        </w:rPr>
        <w:t>Conseils pour la formation des autres : comment illustrer ces points à l’aide d’exemples pratiques</w:t>
      </w:r>
      <w:r w:rsidR="003B21C0" w:rsidRPr="008C364D">
        <w:rPr>
          <w:rFonts w:asciiTheme="minorHAnsi" w:eastAsiaTheme="minorHAnsi" w:hAnsiTheme="minorHAnsi" w:cstheme="minorBidi"/>
          <w:color w:val="auto"/>
          <w:sz w:val="22"/>
          <w:szCs w:val="22"/>
          <w:lang w:val="fr-FR"/>
        </w:rPr>
        <w:t xml:space="preserve"> </w:t>
      </w:r>
      <w:r w:rsidRPr="008C364D">
        <w:rPr>
          <w:rFonts w:asciiTheme="minorHAnsi" w:eastAsiaTheme="minorHAnsi" w:hAnsiTheme="minorHAnsi" w:cstheme="minorBidi"/>
          <w:color w:val="auto"/>
          <w:sz w:val="22"/>
          <w:szCs w:val="22"/>
          <w:lang w:val="fr-FR"/>
        </w:rPr>
        <w:t>?</w:t>
      </w:r>
    </w:p>
    <w:p w14:paraId="64429CFC" w14:textId="0F842666" w:rsidR="001F159E" w:rsidRPr="008C364D" w:rsidRDefault="00BE02A2" w:rsidP="00BE02A2">
      <w:pPr>
        <w:pStyle w:val="berschrift2"/>
        <w:rPr>
          <w:rFonts w:asciiTheme="minorHAnsi" w:hAnsiTheme="minorHAnsi"/>
          <w:lang w:val="fr-FR"/>
        </w:rPr>
      </w:pPr>
      <w:r w:rsidRPr="008C364D">
        <w:rPr>
          <w:rFonts w:asciiTheme="minorHAnsi" w:hAnsiTheme="minorHAnsi"/>
          <w:lang w:val="fr-FR"/>
        </w:rPr>
        <w:t>4</w:t>
      </w:r>
      <w:r w:rsidR="001F159E" w:rsidRPr="008C364D">
        <w:rPr>
          <w:rFonts w:asciiTheme="minorHAnsi" w:hAnsiTheme="minorHAnsi"/>
          <w:lang w:val="fr-FR"/>
        </w:rPr>
        <w:t xml:space="preserve">. </w:t>
      </w:r>
      <w:r w:rsidR="00525A48" w:rsidRPr="008C364D">
        <w:rPr>
          <w:rFonts w:asciiTheme="minorHAnsi" w:hAnsiTheme="minorHAnsi"/>
          <w:lang w:val="fr-FR"/>
        </w:rPr>
        <w:t>Informations pour le formateur</w:t>
      </w:r>
      <w:r w:rsidR="001B627C" w:rsidRPr="008C364D">
        <w:rPr>
          <w:rFonts w:asciiTheme="minorHAnsi" w:hAnsiTheme="minorHAnsi"/>
          <w:lang w:val="fr-FR"/>
        </w:rPr>
        <w:t xml:space="preserve"> </w:t>
      </w:r>
    </w:p>
    <w:p w14:paraId="61D554E0" w14:textId="0DC9EB42" w:rsidR="001B627C" w:rsidRPr="008C364D" w:rsidRDefault="00525A48" w:rsidP="001B627C">
      <w:pPr>
        <w:pStyle w:val="Listenabsatz"/>
        <w:numPr>
          <w:ilvl w:val="0"/>
          <w:numId w:val="16"/>
        </w:numPr>
        <w:rPr>
          <w:lang w:val="fr-FR"/>
        </w:rPr>
      </w:pPr>
      <w:r w:rsidRPr="008C364D">
        <w:rPr>
          <w:lang w:val="fr-FR"/>
        </w:rPr>
        <w:t>Garder le ton objectif - souligner que la durabilité est juridiquement possible si elle est liée de manière appropriée à l’objet d’achat.</w:t>
      </w:r>
      <w:r w:rsidR="001B627C" w:rsidRPr="008C364D">
        <w:rPr>
          <w:lang w:val="fr-FR"/>
        </w:rPr>
        <w:t xml:space="preserve"> </w:t>
      </w:r>
    </w:p>
    <w:p w14:paraId="2A21B3F8" w14:textId="2153CF0E" w:rsidR="001B627C" w:rsidRPr="008C364D" w:rsidRDefault="002E4E45" w:rsidP="001B627C">
      <w:pPr>
        <w:pStyle w:val="Listenabsatz"/>
        <w:numPr>
          <w:ilvl w:val="0"/>
          <w:numId w:val="16"/>
        </w:numPr>
        <w:rPr>
          <w:lang w:val="fr-FR"/>
        </w:rPr>
      </w:pPr>
      <w:r w:rsidRPr="008C364D">
        <w:rPr>
          <w:lang w:val="fr-FR"/>
        </w:rPr>
        <w:lastRenderedPageBreak/>
        <w:t>Susciter des discussions sur les zones d’ombre (par exemple, achats locaux vs réduction des émissions de transport).</w:t>
      </w:r>
    </w:p>
    <w:p w14:paraId="02F398D2" w14:textId="65783FD0" w:rsidR="006734DE" w:rsidRPr="008C364D" w:rsidRDefault="002E4E45" w:rsidP="00955663">
      <w:pPr>
        <w:pStyle w:val="Listenabsatz"/>
        <w:numPr>
          <w:ilvl w:val="0"/>
          <w:numId w:val="16"/>
        </w:numPr>
        <w:rPr>
          <w:lang w:val="fr-FR"/>
        </w:rPr>
      </w:pPr>
      <w:r w:rsidRPr="008C364D">
        <w:rPr>
          <w:lang w:val="fr-FR"/>
        </w:rPr>
        <w:t>Utiliser autant que possible des exemples adaptés au cadre juridique propre à chaque pays.</w:t>
      </w:r>
    </w:p>
    <w:p w14:paraId="1B618E00" w14:textId="71928400" w:rsidR="00BE02A2" w:rsidRPr="008C364D" w:rsidRDefault="002E4E45" w:rsidP="001F159E">
      <w:pPr>
        <w:rPr>
          <w:rFonts w:cs="Segoe UI Emoji"/>
          <w:b/>
          <w:bCs/>
          <w:lang w:val="fr-FR"/>
        </w:rPr>
      </w:pPr>
      <w:r w:rsidRPr="008C364D">
        <w:rPr>
          <w:rFonts w:eastAsiaTheme="majorEastAsia" w:cstheme="majorBidi"/>
          <w:color w:val="0F4761" w:themeColor="accent1" w:themeShade="BF"/>
          <w:sz w:val="40"/>
          <w:szCs w:val="40"/>
          <w:lang w:val="fr-FR"/>
        </w:rPr>
        <w:t>Document : exemples d’appels d’offres - comment et où la durabilité peut être prise en compte juridiquement</w:t>
      </w:r>
    </w:p>
    <w:p w14:paraId="65C5DE5A" w14:textId="1985EDA8" w:rsidR="001F159E" w:rsidRPr="008C364D" w:rsidRDefault="001F159E" w:rsidP="00BE02A2">
      <w:pPr>
        <w:pStyle w:val="berschrift2"/>
        <w:rPr>
          <w:rFonts w:asciiTheme="minorHAnsi" w:hAnsiTheme="minorHAnsi"/>
          <w:lang w:val="fr-FR"/>
        </w:rPr>
      </w:pPr>
      <w:r w:rsidRPr="008C364D">
        <w:rPr>
          <w:rFonts w:asciiTheme="minorHAnsi" w:hAnsiTheme="minorHAnsi"/>
          <w:lang w:val="fr-FR"/>
        </w:rPr>
        <w:t>S</w:t>
      </w:r>
      <w:r w:rsidR="002E4E45" w:rsidRPr="008C364D">
        <w:rPr>
          <w:rFonts w:asciiTheme="minorHAnsi" w:hAnsiTheme="minorHAnsi"/>
          <w:lang w:val="fr-FR"/>
        </w:rPr>
        <w:t>cé</w:t>
      </w:r>
      <w:r w:rsidRPr="008C364D">
        <w:rPr>
          <w:rFonts w:asciiTheme="minorHAnsi" w:hAnsiTheme="minorHAnsi"/>
          <w:lang w:val="fr-FR"/>
        </w:rPr>
        <w:t>nario 1</w:t>
      </w:r>
      <w:r w:rsidR="002E4E45" w:rsidRPr="008C364D">
        <w:rPr>
          <w:rFonts w:asciiTheme="minorHAnsi" w:hAnsiTheme="minorHAnsi"/>
          <w:lang w:val="fr-FR"/>
        </w:rPr>
        <w:t xml:space="preserve"> </w:t>
      </w:r>
      <w:r w:rsidRPr="008C364D">
        <w:rPr>
          <w:rFonts w:asciiTheme="minorHAnsi" w:hAnsiTheme="minorHAnsi"/>
          <w:lang w:val="fr-FR"/>
        </w:rPr>
        <w:t xml:space="preserve">: </w:t>
      </w:r>
      <w:r w:rsidR="002E4E45" w:rsidRPr="008C364D">
        <w:rPr>
          <w:rFonts w:asciiTheme="minorHAnsi" w:hAnsiTheme="minorHAnsi"/>
          <w:lang w:val="fr-FR"/>
        </w:rPr>
        <w:t>achat de mobilier de bureau</w:t>
      </w:r>
    </w:p>
    <w:p w14:paraId="5C6F359E" w14:textId="55CFA1FB" w:rsidR="002E4E45" w:rsidRPr="008C364D" w:rsidRDefault="002E4E45" w:rsidP="002E4E45">
      <w:pPr>
        <w:rPr>
          <w:lang w:val="fr-FR"/>
        </w:rPr>
      </w:pPr>
      <w:r w:rsidRPr="008C364D">
        <w:rPr>
          <w:lang w:val="fr-FR"/>
        </w:rPr>
        <w:t>Le donneur d’ordre détermine :</w:t>
      </w:r>
    </w:p>
    <w:p w14:paraId="3ED906A7" w14:textId="513506EF" w:rsidR="00FF3662" w:rsidRPr="008C364D" w:rsidRDefault="002E4E45" w:rsidP="00FF3662">
      <w:pPr>
        <w:rPr>
          <w:lang w:val="fr-FR"/>
        </w:rPr>
      </w:pPr>
      <w:r w:rsidRPr="008C364D">
        <w:rPr>
          <w:lang w:val="fr-FR"/>
        </w:rPr>
        <w:t>« Tous les bureaux doivent être fabriqués localement dans un rayon de 50 km afin de réduire les émissions de CO</w:t>
      </w:r>
      <w:r w:rsidR="00955663" w:rsidRPr="008C364D">
        <w:rPr>
          <w:vertAlign w:val="subscript"/>
          <w:lang w:val="fr-FR"/>
        </w:rPr>
        <w:t>2</w:t>
      </w:r>
      <w:r w:rsidRPr="008C364D">
        <w:rPr>
          <w:lang w:val="fr-FR"/>
        </w:rPr>
        <w:t xml:space="preserve"> dues au transport. »</w:t>
      </w:r>
    </w:p>
    <w:p w14:paraId="7E38E899" w14:textId="4344D076" w:rsidR="001F159E" w:rsidRPr="008C364D" w:rsidRDefault="001F159E" w:rsidP="00FF3662">
      <w:pPr>
        <w:rPr>
          <w:lang w:val="fr-FR"/>
        </w:rPr>
      </w:pPr>
      <w:r w:rsidRPr="008C364D">
        <w:rPr>
          <w:b/>
          <w:bCs/>
          <w:lang w:val="fr-FR"/>
        </w:rPr>
        <w:t>Analys</w:t>
      </w:r>
      <w:r w:rsidR="00FF3662" w:rsidRPr="008C364D">
        <w:rPr>
          <w:b/>
          <w:bCs/>
          <w:lang w:val="fr-FR"/>
        </w:rPr>
        <w:t>e</w:t>
      </w:r>
      <w:r w:rsidR="003B21C0" w:rsidRPr="008C364D">
        <w:rPr>
          <w:b/>
          <w:bCs/>
          <w:lang w:val="fr-FR"/>
        </w:rPr>
        <w:t xml:space="preserve"> </w:t>
      </w:r>
      <w:r w:rsidRPr="008C364D">
        <w:rPr>
          <w:b/>
          <w:bCs/>
          <w:lang w:val="fr-FR"/>
        </w:rPr>
        <w:t>:</w:t>
      </w:r>
    </w:p>
    <w:p w14:paraId="68403722" w14:textId="4E15A50E" w:rsidR="001F159E" w:rsidRPr="008C364D" w:rsidRDefault="002E4E45" w:rsidP="001F159E">
      <w:pPr>
        <w:numPr>
          <w:ilvl w:val="0"/>
          <w:numId w:val="7"/>
        </w:numPr>
        <w:rPr>
          <w:lang w:val="fr-FR"/>
        </w:rPr>
      </w:pPr>
      <w:r w:rsidRPr="008C364D">
        <w:rPr>
          <w:b/>
          <w:bCs/>
          <w:lang w:val="fr-FR"/>
        </w:rPr>
        <w:t xml:space="preserve">Niveau </w:t>
      </w:r>
      <w:r w:rsidR="001F159E" w:rsidRPr="008C364D">
        <w:rPr>
          <w:b/>
          <w:bCs/>
          <w:lang w:val="fr-FR"/>
        </w:rPr>
        <w:t>:</w:t>
      </w:r>
      <w:r w:rsidR="001F159E" w:rsidRPr="008C364D">
        <w:rPr>
          <w:lang w:val="fr-FR"/>
        </w:rPr>
        <w:t xml:space="preserve"> </w:t>
      </w:r>
      <w:r w:rsidRPr="008C364D">
        <w:rPr>
          <w:lang w:val="fr-FR"/>
        </w:rPr>
        <w:t>données t</w:t>
      </w:r>
      <w:r w:rsidR="00FF3662" w:rsidRPr="008C364D">
        <w:rPr>
          <w:lang w:val="fr-FR"/>
        </w:rPr>
        <w:t>echni</w:t>
      </w:r>
      <w:r w:rsidRPr="008C364D">
        <w:rPr>
          <w:lang w:val="fr-FR"/>
        </w:rPr>
        <w:t>ques</w:t>
      </w:r>
      <w:r w:rsidR="00FF3662" w:rsidRPr="008C364D">
        <w:rPr>
          <w:lang w:val="fr-FR"/>
        </w:rPr>
        <w:t xml:space="preserve"> </w:t>
      </w:r>
    </w:p>
    <w:p w14:paraId="6C1BE212" w14:textId="18E30F21" w:rsidR="00FF3662" w:rsidRPr="008C364D" w:rsidRDefault="002E4E45" w:rsidP="001F159E">
      <w:pPr>
        <w:numPr>
          <w:ilvl w:val="0"/>
          <w:numId w:val="7"/>
        </w:numPr>
        <w:rPr>
          <w:lang w:val="fr-FR"/>
        </w:rPr>
      </w:pPr>
      <w:r w:rsidRPr="008C364D">
        <w:rPr>
          <w:b/>
          <w:bCs/>
          <w:lang w:val="fr-FR"/>
        </w:rPr>
        <w:t xml:space="preserve">Légalité : </w:t>
      </w:r>
      <w:r w:rsidRPr="008C364D">
        <w:rPr>
          <w:lang w:val="fr-FR"/>
        </w:rPr>
        <w:t xml:space="preserve">la production locale limite directement la concurrence et discrimine les fournisseurs non locaux </w:t>
      </w:r>
      <w:r w:rsidR="00955663" w:rsidRPr="008C364D">
        <w:rPr>
          <w:lang w:val="fr-FR"/>
        </w:rPr>
        <w:t>–</w:t>
      </w:r>
      <w:r w:rsidRPr="008C364D">
        <w:rPr>
          <w:lang w:val="fr-FR"/>
        </w:rPr>
        <w:t xml:space="preserve"> ce qui est probablement illégal en vertu du droit des marchés publics</w:t>
      </w:r>
      <w:r w:rsidRPr="008C364D">
        <w:rPr>
          <w:b/>
          <w:bCs/>
          <w:lang w:val="fr-FR"/>
        </w:rPr>
        <w:t xml:space="preserve">. </w:t>
      </w:r>
    </w:p>
    <w:p w14:paraId="038C2E35" w14:textId="6D17569F" w:rsidR="00FF3662" w:rsidRPr="008C364D" w:rsidRDefault="002E4E45" w:rsidP="001F159E">
      <w:pPr>
        <w:numPr>
          <w:ilvl w:val="0"/>
          <w:numId w:val="7"/>
        </w:numPr>
        <w:rPr>
          <w:lang w:val="fr-FR"/>
        </w:rPr>
      </w:pPr>
      <w:r w:rsidRPr="008C364D">
        <w:rPr>
          <w:b/>
          <w:bCs/>
          <w:lang w:val="fr-FR"/>
        </w:rPr>
        <w:t xml:space="preserve">Objectif de base : </w:t>
      </w:r>
      <w:r w:rsidRPr="008C364D">
        <w:rPr>
          <w:lang w:val="fr-FR"/>
        </w:rPr>
        <w:t xml:space="preserve">réduction </w:t>
      </w:r>
      <w:r w:rsidR="00955663" w:rsidRPr="008C364D">
        <w:rPr>
          <w:lang w:val="fr-FR"/>
        </w:rPr>
        <w:t>l</w:t>
      </w:r>
      <w:r w:rsidRPr="008C364D">
        <w:rPr>
          <w:lang w:val="fr-FR"/>
        </w:rPr>
        <w:t>es émissions dues aux transports (objectif environnemental).</w:t>
      </w:r>
    </w:p>
    <w:p w14:paraId="59799A5C" w14:textId="7B5BBAF9" w:rsidR="00FF3662" w:rsidRPr="008C364D" w:rsidRDefault="002E4E45" w:rsidP="001F159E">
      <w:pPr>
        <w:numPr>
          <w:ilvl w:val="0"/>
          <w:numId w:val="7"/>
        </w:numPr>
        <w:rPr>
          <w:lang w:val="fr-FR"/>
        </w:rPr>
      </w:pPr>
      <w:r w:rsidRPr="008C364D">
        <w:rPr>
          <w:b/>
          <w:bCs/>
          <w:lang w:val="fr-FR"/>
        </w:rPr>
        <w:t xml:space="preserve">Correction (alternative légitime) : </w:t>
      </w:r>
      <w:r w:rsidR="00955663" w:rsidRPr="008C364D">
        <w:rPr>
          <w:lang w:val="fr-FR"/>
        </w:rPr>
        <w:t>c</w:t>
      </w:r>
      <w:r w:rsidRPr="008C364D">
        <w:rPr>
          <w:lang w:val="fr-FR"/>
        </w:rPr>
        <w:t xml:space="preserve">ritère d’attribution : « des points sont attribués pour la performance environnementale (émissions de </w:t>
      </w:r>
      <w:r w:rsidR="00A44C23" w:rsidRPr="008C364D">
        <w:rPr>
          <w:lang w:val="fr-FR"/>
        </w:rPr>
        <w:t>CO₂</w:t>
      </w:r>
      <w:r w:rsidRPr="008C364D">
        <w:rPr>
          <w:lang w:val="fr-FR"/>
        </w:rPr>
        <w:t>) de la livraison, sur la base de la distance totale de livraison (en km) et de la classe de pollution des véhicules utilisés pour transporter les marchandises jusqu’au lieu de livraison</w:t>
      </w:r>
      <w:r w:rsidR="00A44C23" w:rsidRPr="008C364D">
        <w:rPr>
          <w:lang w:val="fr-FR"/>
        </w:rPr>
        <w:t> »</w:t>
      </w:r>
      <w:r w:rsidRPr="008C364D">
        <w:rPr>
          <w:lang w:val="fr-FR"/>
        </w:rPr>
        <w:t>.</w:t>
      </w:r>
    </w:p>
    <w:p w14:paraId="2B97F4F0" w14:textId="6F0FDAEA" w:rsidR="00FF3662" w:rsidRPr="008C364D" w:rsidRDefault="00A44C23" w:rsidP="001F159E">
      <w:pPr>
        <w:numPr>
          <w:ilvl w:val="0"/>
          <w:numId w:val="7"/>
        </w:numPr>
        <w:rPr>
          <w:lang w:val="fr-FR"/>
        </w:rPr>
      </w:pPr>
      <w:r w:rsidRPr="008C364D">
        <w:rPr>
          <w:b/>
          <w:bCs/>
          <w:lang w:val="fr-FR"/>
        </w:rPr>
        <w:t>Principe juridique respecté</w:t>
      </w:r>
      <w:r w:rsidRPr="008C364D">
        <w:rPr>
          <w:lang w:val="fr-FR"/>
        </w:rPr>
        <w:t> : égalité de traitement, concurrence ouverte, proportionnalité.</w:t>
      </w:r>
    </w:p>
    <w:p w14:paraId="412F6025" w14:textId="1FE0C342" w:rsidR="001F159E" w:rsidRPr="008C364D" w:rsidRDefault="00A44C23" w:rsidP="001F159E">
      <w:pPr>
        <w:rPr>
          <w:lang w:val="fr-FR"/>
        </w:rPr>
      </w:pPr>
      <w:r w:rsidRPr="008C364D">
        <w:rPr>
          <w:b/>
          <w:bCs/>
          <w:lang w:val="fr-FR"/>
        </w:rPr>
        <w:t xml:space="preserve">À faire </w:t>
      </w:r>
      <w:r w:rsidR="001F159E" w:rsidRPr="008C364D">
        <w:rPr>
          <w:b/>
          <w:bCs/>
          <w:lang w:val="fr-FR"/>
        </w:rPr>
        <w:t>:</w:t>
      </w:r>
      <w:r w:rsidRPr="008C364D">
        <w:rPr>
          <w:b/>
          <w:bCs/>
          <w:lang w:val="fr-FR"/>
        </w:rPr>
        <w:t xml:space="preserve"> </w:t>
      </w:r>
      <w:r w:rsidR="001F159E" w:rsidRPr="008C364D">
        <w:rPr>
          <w:lang w:val="fr-FR"/>
        </w:rPr>
        <w:t xml:space="preserve"> </w:t>
      </w:r>
      <w:r w:rsidRPr="008C364D">
        <w:rPr>
          <w:lang w:val="fr-FR"/>
        </w:rPr>
        <w:t>accent sur le bilan environnemental (réduction de CO₂).</w:t>
      </w:r>
      <w:r w:rsidR="001F159E" w:rsidRPr="008C364D">
        <w:rPr>
          <w:lang w:val="fr-FR"/>
        </w:rPr>
        <w:br/>
      </w:r>
      <w:r w:rsidRPr="008C364D">
        <w:rPr>
          <w:b/>
          <w:bCs/>
          <w:lang w:val="fr-FR"/>
        </w:rPr>
        <w:t xml:space="preserve">À ne pas faire </w:t>
      </w:r>
      <w:r w:rsidR="001F159E" w:rsidRPr="008C364D">
        <w:rPr>
          <w:b/>
          <w:bCs/>
          <w:lang w:val="fr-FR"/>
        </w:rPr>
        <w:t>:</w:t>
      </w:r>
      <w:r w:rsidR="001F159E" w:rsidRPr="008C364D">
        <w:rPr>
          <w:lang w:val="fr-FR"/>
        </w:rPr>
        <w:t xml:space="preserve"> </w:t>
      </w:r>
      <w:r w:rsidRPr="008C364D">
        <w:rPr>
          <w:lang w:val="fr-FR"/>
        </w:rPr>
        <w:t>indication requise de l’origine géographique ou du lieu de production.</w:t>
      </w:r>
    </w:p>
    <w:p w14:paraId="51883ADE" w14:textId="62C58AF1" w:rsidR="001F159E" w:rsidRPr="008C364D" w:rsidRDefault="001F159E" w:rsidP="001F159E">
      <w:pPr>
        <w:rPr>
          <w:lang w:val="fr-FR"/>
        </w:rPr>
      </w:pPr>
    </w:p>
    <w:p w14:paraId="724735CE" w14:textId="428C3CA7" w:rsidR="001F159E" w:rsidRPr="008C364D" w:rsidRDefault="001F159E" w:rsidP="00AE4366">
      <w:pPr>
        <w:pStyle w:val="berschrift2"/>
        <w:rPr>
          <w:rFonts w:asciiTheme="minorHAnsi" w:hAnsiTheme="minorHAnsi"/>
          <w:lang w:val="fr-FR"/>
        </w:rPr>
      </w:pPr>
      <w:r w:rsidRPr="008C364D">
        <w:rPr>
          <w:rFonts w:asciiTheme="minorHAnsi" w:hAnsiTheme="minorHAnsi"/>
          <w:lang w:val="fr-FR"/>
        </w:rPr>
        <w:t>S</w:t>
      </w:r>
      <w:r w:rsidR="00A44C23" w:rsidRPr="008C364D">
        <w:rPr>
          <w:rFonts w:asciiTheme="minorHAnsi" w:hAnsiTheme="minorHAnsi"/>
          <w:lang w:val="fr-FR"/>
        </w:rPr>
        <w:t>cé</w:t>
      </w:r>
      <w:r w:rsidRPr="008C364D">
        <w:rPr>
          <w:rFonts w:asciiTheme="minorHAnsi" w:hAnsiTheme="minorHAnsi"/>
          <w:lang w:val="fr-FR"/>
        </w:rPr>
        <w:t>nario 2</w:t>
      </w:r>
      <w:r w:rsidR="00A44C23" w:rsidRPr="008C364D">
        <w:rPr>
          <w:rFonts w:asciiTheme="minorHAnsi" w:hAnsiTheme="minorHAnsi"/>
          <w:lang w:val="fr-FR"/>
        </w:rPr>
        <w:t xml:space="preserve"> </w:t>
      </w:r>
      <w:r w:rsidRPr="008C364D">
        <w:rPr>
          <w:rFonts w:asciiTheme="minorHAnsi" w:hAnsiTheme="minorHAnsi"/>
          <w:lang w:val="fr-FR"/>
        </w:rPr>
        <w:t xml:space="preserve">: </w:t>
      </w:r>
      <w:r w:rsidR="00A44C23" w:rsidRPr="008C364D">
        <w:rPr>
          <w:rFonts w:asciiTheme="minorHAnsi" w:hAnsiTheme="minorHAnsi"/>
          <w:lang w:val="fr-FR"/>
        </w:rPr>
        <w:t>service de restauration</w:t>
      </w:r>
    </w:p>
    <w:p w14:paraId="03E3774D" w14:textId="09AC6DA7" w:rsidR="00EF668E" w:rsidRPr="008C364D" w:rsidRDefault="00A44C23" w:rsidP="001F159E">
      <w:pPr>
        <w:rPr>
          <w:lang w:val="fr-FR"/>
        </w:rPr>
      </w:pPr>
      <w:r w:rsidRPr="008C364D">
        <w:rPr>
          <w:lang w:val="fr-FR"/>
        </w:rPr>
        <w:t>Les critères d’attribution prévoient 25 points pour les soumissionnaires proposant des produits certifiés bio et Fairtrade.</w:t>
      </w:r>
    </w:p>
    <w:p w14:paraId="52504654" w14:textId="11CC2DB5" w:rsidR="001F159E" w:rsidRPr="008C364D" w:rsidRDefault="001F159E" w:rsidP="001F159E">
      <w:r w:rsidRPr="008C364D">
        <w:rPr>
          <w:b/>
          <w:bCs/>
        </w:rPr>
        <w:t>Analys</w:t>
      </w:r>
      <w:r w:rsidR="00EF668E" w:rsidRPr="008C364D">
        <w:rPr>
          <w:b/>
          <w:bCs/>
        </w:rPr>
        <w:t>e</w:t>
      </w:r>
      <w:r w:rsidRPr="008C364D">
        <w:rPr>
          <w:b/>
          <w:bCs/>
        </w:rPr>
        <w:t>:</w:t>
      </w:r>
    </w:p>
    <w:p w14:paraId="6CA6F44E" w14:textId="032ADBCA" w:rsidR="001F159E" w:rsidRPr="008C364D" w:rsidRDefault="00A44C23" w:rsidP="001F159E">
      <w:pPr>
        <w:numPr>
          <w:ilvl w:val="0"/>
          <w:numId w:val="8"/>
        </w:numPr>
        <w:rPr>
          <w:lang w:val="fr-FR"/>
        </w:rPr>
      </w:pPr>
      <w:r w:rsidRPr="008C364D">
        <w:rPr>
          <w:b/>
          <w:bCs/>
          <w:lang w:val="fr-FR"/>
        </w:rPr>
        <w:t xml:space="preserve">Niveau </w:t>
      </w:r>
      <w:r w:rsidR="001F159E" w:rsidRPr="008C364D">
        <w:rPr>
          <w:b/>
          <w:bCs/>
          <w:lang w:val="fr-FR"/>
        </w:rPr>
        <w:t>:</w:t>
      </w:r>
      <w:r w:rsidR="001F159E" w:rsidRPr="008C364D">
        <w:rPr>
          <w:lang w:val="fr-FR"/>
        </w:rPr>
        <w:t xml:space="preserve"> </w:t>
      </w:r>
      <w:r w:rsidRPr="008C364D">
        <w:rPr>
          <w:lang w:val="fr-FR"/>
        </w:rPr>
        <w:t>critères d’attribution</w:t>
      </w:r>
    </w:p>
    <w:p w14:paraId="08FC0013" w14:textId="2FEA5620" w:rsidR="00EF668E" w:rsidRPr="008C364D" w:rsidRDefault="00A44C23" w:rsidP="001F159E">
      <w:pPr>
        <w:numPr>
          <w:ilvl w:val="0"/>
          <w:numId w:val="8"/>
        </w:numPr>
        <w:rPr>
          <w:lang w:val="fr-FR"/>
        </w:rPr>
      </w:pPr>
      <w:r w:rsidRPr="008C364D">
        <w:rPr>
          <w:b/>
          <w:bCs/>
          <w:lang w:val="fr-FR"/>
        </w:rPr>
        <w:t>Légalité </w:t>
      </w:r>
      <w:r w:rsidR="00EF668E" w:rsidRPr="008C364D">
        <w:rPr>
          <w:b/>
          <w:bCs/>
          <w:lang w:val="fr-FR"/>
        </w:rPr>
        <w:t xml:space="preserve">: </w:t>
      </w:r>
      <w:r w:rsidRPr="008C364D">
        <w:rPr>
          <w:lang w:val="fr-FR"/>
        </w:rPr>
        <w:t>autorisé si la certification est liée à l’objet (denrées alimentaires livrées) et que des preuves « équivalentes » sont acceptées.</w:t>
      </w:r>
    </w:p>
    <w:p w14:paraId="0C77622D" w14:textId="76EC2EC2" w:rsidR="00567D01" w:rsidRPr="008C364D" w:rsidRDefault="00A44C23" w:rsidP="001F159E">
      <w:pPr>
        <w:numPr>
          <w:ilvl w:val="0"/>
          <w:numId w:val="8"/>
        </w:numPr>
        <w:rPr>
          <w:b/>
          <w:bCs/>
          <w:lang w:val="fr-FR"/>
        </w:rPr>
      </w:pPr>
      <w:r w:rsidRPr="008C364D">
        <w:rPr>
          <w:b/>
          <w:bCs/>
          <w:lang w:val="fr-FR"/>
        </w:rPr>
        <w:lastRenderedPageBreak/>
        <w:t>Correction</w:t>
      </w:r>
      <w:r w:rsidR="00EF668E" w:rsidRPr="008C364D">
        <w:rPr>
          <w:b/>
          <w:bCs/>
          <w:lang w:val="fr-FR"/>
        </w:rPr>
        <w:t xml:space="preserve"> (</w:t>
      </w:r>
      <w:r w:rsidR="005C1089" w:rsidRPr="008C364D">
        <w:rPr>
          <w:b/>
          <w:bCs/>
          <w:lang w:val="fr-FR"/>
        </w:rPr>
        <w:t>afin de garantir la sécurité juridique</w:t>
      </w:r>
      <w:r w:rsidR="00EF668E" w:rsidRPr="008C364D">
        <w:rPr>
          <w:b/>
          <w:bCs/>
          <w:lang w:val="fr-FR"/>
        </w:rPr>
        <w:t>)</w:t>
      </w:r>
      <w:r w:rsidR="005C1089" w:rsidRPr="008C364D">
        <w:rPr>
          <w:b/>
          <w:bCs/>
          <w:lang w:val="fr-FR"/>
        </w:rPr>
        <w:t xml:space="preserve"> </w:t>
      </w:r>
      <w:r w:rsidR="00EF668E" w:rsidRPr="008C364D">
        <w:rPr>
          <w:b/>
          <w:bCs/>
          <w:lang w:val="fr-FR"/>
        </w:rPr>
        <w:t>:</w:t>
      </w:r>
      <w:r w:rsidR="00EF668E" w:rsidRPr="008C364D">
        <w:rPr>
          <w:lang w:val="fr-FR"/>
        </w:rPr>
        <w:t xml:space="preserve"> </w:t>
      </w:r>
      <w:r w:rsidR="005C1089" w:rsidRPr="008C364D">
        <w:rPr>
          <w:lang w:val="fr-FR"/>
        </w:rPr>
        <w:t xml:space="preserve">« Jusqu’à 25 points sont attribués pour la proportion d’aliments biologiques et </w:t>
      </w:r>
      <w:r w:rsidR="00955663" w:rsidRPr="008C364D">
        <w:rPr>
          <w:lang w:val="fr-FR"/>
        </w:rPr>
        <w:t>commerce équitable</w:t>
      </w:r>
      <w:r w:rsidR="005C1089" w:rsidRPr="008C364D">
        <w:rPr>
          <w:lang w:val="fr-FR"/>
        </w:rPr>
        <w:t xml:space="preserve"> attestée par des labels reconnus ou des preuves équivalentes du respect de normes de durabilité équivalentes. »  </w:t>
      </w:r>
    </w:p>
    <w:p w14:paraId="4403764C" w14:textId="4C4CC72E" w:rsidR="00567D01" w:rsidRPr="008C364D" w:rsidRDefault="005C1089" w:rsidP="001F159E">
      <w:pPr>
        <w:numPr>
          <w:ilvl w:val="0"/>
          <w:numId w:val="8"/>
        </w:numPr>
        <w:rPr>
          <w:b/>
          <w:bCs/>
          <w:lang w:val="fr-FR"/>
        </w:rPr>
      </w:pPr>
      <w:r w:rsidRPr="008C364D">
        <w:rPr>
          <w:b/>
          <w:bCs/>
          <w:lang w:val="fr-FR"/>
        </w:rPr>
        <w:t>Principe juridique respecté</w:t>
      </w:r>
      <w:r w:rsidRPr="008C364D">
        <w:rPr>
          <w:lang w:val="fr-FR"/>
        </w:rPr>
        <w:t> : non-discrimination, transparence.</w:t>
      </w:r>
    </w:p>
    <w:p w14:paraId="7D435CFE" w14:textId="5DCAB439" w:rsidR="001F159E" w:rsidRPr="008C364D" w:rsidRDefault="00955663" w:rsidP="001F159E">
      <w:pPr>
        <w:rPr>
          <w:lang w:val="fr-FR"/>
        </w:rPr>
      </w:pPr>
      <w:r w:rsidRPr="008C364D">
        <w:rPr>
          <w:b/>
          <w:bCs/>
          <w:lang w:val="fr-FR"/>
        </w:rPr>
        <w:br w:type="column"/>
      </w:r>
      <w:r w:rsidR="005C1089" w:rsidRPr="008C364D">
        <w:rPr>
          <w:b/>
          <w:bCs/>
          <w:lang w:val="fr-FR"/>
        </w:rPr>
        <w:lastRenderedPageBreak/>
        <w:t xml:space="preserve">À faire </w:t>
      </w:r>
      <w:r w:rsidR="00567D01" w:rsidRPr="008C364D">
        <w:rPr>
          <w:b/>
          <w:bCs/>
          <w:lang w:val="fr-FR"/>
        </w:rPr>
        <w:t xml:space="preserve">: </w:t>
      </w:r>
      <w:r w:rsidR="005C1089" w:rsidRPr="008C364D">
        <w:rPr>
          <w:lang w:val="fr-FR"/>
        </w:rPr>
        <w:t>utiliser des critères d’attribution durables liés à l’objet du contrat.</w:t>
      </w:r>
      <w:r w:rsidR="001F159E" w:rsidRPr="008C364D">
        <w:rPr>
          <w:lang w:val="fr-FR"/>
        </w:rPr>
        <w:br/>
      </w:r>
      <w:r w:rsidR="005C1089" w:rsidRPr="008C364D">
        <w:rPr>
          <w:b/>
          <w:bCs/>
          <w:lang w:val="fr-FR"/>
        </w:rPr>
        <w:t xml:space="preserve">À ne pas faire </w:t>
      </w:r>
      <w:r w:rsidR="001F159E" w:rsidRPr="008C364D">
        <w:rPr>
          <w:b/>
          <w:bCs/>
          <w:lang w:val="fr-FR"/>
        </w:rPr>
        <w:t>:</w:t>
      </w:r>
      <w:r w:rsidR="001F159E" w:rsidRPr="008C364D">
        <w:rPr>
          <w:lang w:val="fr-FR"/>
        </w:rPr>
        <w:t xml:space="preserve"> </w:t>
      </w:r>
      <w:r w:rsidR="005C1089" w:rsidRPr="008C364D">
        <w:rPr>
          <w:lang w:val="fr-FR"/>
        </w:rPr>
        <w:t>seuls des marquages spécifiques sont requis (sans équivalence).</w:t>
      </w:r>
    </w:p>
    <w:p w14:paraId="1C53870B" w14:textId="72F65415" w:rsidR="001F159E" w:rsidRPr="008C364D" w:rsidRDefault="001F159E" w:rsidP="001F159E">
      <w:pPr>
        <w:rPr>
          <w:lang w:val="fr-FR"/>
        </w:rPr>
      </w:pPr>
    </w:p>
    <w:p w14:paraId="426BFD72" w14:textId="77777777" w:rsidR="00AE4366" w:rsidRPr="008C364D" w:rsidRDefault="00AE4366" w:rsidP="001F159E">
      <w:pPr>
        <w:rPr>
          <w:rFonts w:cs="Segoe UI Emoji"/>
          <w:b/>
          <w:bCs/>
          <w:lang w:val="fr-FR"/>
        </w:rPr>
      </w:pPr>
    </w:p>
    <w:p w14:paraId="5E0796A1" w14:textId="69B1F94B" w:rsidR="001F159E" w:rsidRPr="008C364D" w:rsidRDefault="001F159E" w:rsidP="00AE4366">
      <w:pPr>
        <w:pStyle w:val="berschrift2"/>
        <w:rPr>
          <w:rFonts w:asciiTheme="minorHAnsi" w:hAnsiTheme="minorHAnsi"/>
          <w:lang w:val="fr-FR"/>
        </w:rPr>
      </w:pPr>
      <w:r w:rsidRPr="008C364D">
        <w:rPr>
          <w:rFonts w:asciiTheme="minorHAnsi" w:hAnsiTheme="minorHAnsi"/>
          <w:lang w:val="fr-FR"/>
        </w:rPr>
        <w:t>S</w:t>
      </w:r>
      <w:r w:rsidR="005C1089" w:rsidRPr="008C364D">
        <w:rPr>
          <w:rFonts w:asciiTheme="minorHAnsi" w:hAnsiTheme="minorHAnsi"/>
          <w:lang w:val="fr-FR"/>
        </w:rPr>
        <w:t>cé</w:t>
      </w:r>
      <w:r w:rsidRPr="008C364D">
        <w:rPr>
          <w:rFonts w:asciiTheme="minorHAnsi" w:hAnsiTheme="minorHAnsi"/>
          <w:lang w:val="fr-FR"/>
        </w:rPr>
        <w:t xml:space="preserve">nario </w:t>
      </w:r>
      <w:r w:rsidR="002E170F" w:rsidRPr="008C364D">
        <w:rPr>
          <w:rFonts w:asciiTheme="minorHAnsi" w:hAnsiTheme="minorHAnsi"/>
          <w:lang w:val="fr-FR"/>
        </w:rPr>
        <w:t>3</w:t>
      </w:r>
      <w:r w:rsidR="005C1089" w:rsidRPr="008C364D">
        <w:rPr>
          <w:rFonts w:asciiTheme="minorHAnsi" w:hAnsiTheme="minorHAnsi"/>
          <w:lang w:val="fr-FR"/>
        </w:rPr>
        <w:t xml:space="preserve"> </w:t>
      </w:r>
      <w:r w:rsidRPr="008C364D">
        <w:rPr>
          <w:rFonts w:asciiTheme="minorHAnsi" w:hAnsiTheme="minorHAnsi"/>
          <w:lang w:val="fr-FR"/>
        </w:rPr>
        <w:t xml:space="preserve">: </w:t>
      </w:r>
      <w:r w:rsidR="0010080C" w:rsidRPr="008C364D">
        <w:rPr>
          <w:rFonts w:asciiTheme="minorHAnsi" w:hAnsiTheme="minorHAnsi"/>
          <w:lang w:val="fr-FR"/>
        </w:rPr>
        <w:t>a</w:t>
      </w:r>
      <w:r w:rsidR="005C1089" w:rsidRPr="008C364D">
        <w:rPr>
          <w:rFonts w:asciiTheme="minorHAnsi" w:hAnsiTheme="minorHAnsi"/>
          <w:lang w:val="fr-FR"/>
        </w:rPr>
        <w:t>ppel d’offres pour l’équipement informatique</w:t>
      </w:r>
    </w:p>
    <w:p w14:paraId="0F6ED5DE" w14:textId="5A8B64FC" w:rsidR="00567D01" w:rsidRPr="008C364D" w:rsidRDefault="005C1089" w:rsidP="001F159E">
      <w:pPr>
        <w:rPr>
          <w:lang w:val="fr-FR"/>
        </w:rPr>
      </w:pPr>
      <w:r w:rsidRPr="008C364D">
        <w:rPr>
          <w:lang w:val="fr-FR"/>
        </w:rPr>
        <w:t>L’autorité précise que « tous les ordinateurs portables doivent être fabriqués par la marque X, connue pour sa chaîne d’approvisionnement respectueuse de l’environnement. »</w:t>
      </w:r>
    </w:p>
    <w:p w14:paraId="513967EE" w14:textId="6258173B" w:rsidR="001F159E" w:rsidRPr="008C364D" w:rsidRDefault="001F159E" w:rsidP="001F159E">
      <w:pPr>
        <w:rPr>
          <w:lang w:val="fr-FR"/>
        </w:rPr>
      </w:pPr>
      <w:r w:rsidRPr="008C364D">
        <w:rPr>
          <w:b/>
          <w:bCs/>
          <w:lang w:val="fr-FR"/>
        </w:rPr>
        <w:t>Analys</w:t>
      </w:r>
      <w:r w:rsidR="00567D01" w:rsidRPr="008C364D">
        <w:rPr>
          <w:b/>
          <w:bCs/>
          <w:lang w:val="fr-FR"/>
        </w:rPr>
        <w:t>e</w:t>
      </w:r>
      <w:r w:rsidR="001E3E00" w:rsidRPr="008C364D">
        <w:rPr>
          <w:b/>
          <w:bCs/>
          <w:lang w:val="fr-FR"/>
        </w:rPr>
        <w:t xml:space="preserve"> </w:t>
      </w:r>
      <w:r w:rsidRPr="008C364D">
        <w:rPr>
          <w:b/>
          <w:bCs/>
          <w:lang w:val="fr-FR"/>
        </w:rPr>
        <w:t>:</w:t>
      </w:r>
    </w:p>
    <w:p w14:paraId="2254F944" w14:textId="68803089" w:rsidR="001F159E" w:rsidRPr="008C364D" w:rsidRDefault="005C1089" w:rsidP="001F159E">
      <w:pPr>
        <w:numPr>
          <w:ilvl w:val="0"/>
          <w:numId w:val="10"/>
        </w:numPr>
        <w:rPr>
          <w:lang w:val="fr-FR"/>
        </w:rPr>
      </w:pPr>
      <w:r w:rsidRPr="008C364D">
        <w:rPr>
          <w:b/>
          <w:bCs/>
          <w:lang w:val="fr-FR"/>
        </w:rPr>
        <w:t>Niveau</w:t>
      </w:r>
      <w:r w:rsidR="001E3E00" w:rsidRPr="008C364D">
        <w:rPr>
          <w:b/>
          <w:bCs/>
          <w:lang w:val="fr-FR"/>
        </w:rPr>
        <w:t xml:space="preserve"> </w:t>
      </w:r>
      <w:r w:rsidR="001F159E" w:rsidRPr="008C364D">
        <w:rPr>
          <w:b/>
          <w:bCs/>
          <w:lang w:val="fr-FR"/>
        </w:rPr>
        <w:t>:</w:t>
      </w:r>
      <w:r w:rsidR="001F159E" w:rsidRPr="008C364D">
        <w:rPr>
          <w:lang w:val="fr-FR"/>
        </w:rPr>
        <w:t xml:space="preserve"> </w:t>
      </w:r>
      <w:r w:rsidRPr="008C364D">
        <w:rPr>
          <w:lang w:val="fr-FR"/>
        </w:rPr>
        <w:t>données techniques</w:t>
      </w:r>
    </w:p>
    <w:p w14:paraId="54A4A37C" w14:textId="040C2E47" w:rsidR="00567D01" w:rsidRPr="008C364D" w:rsidRDefault="005C1089" w:rsidP="001F159E">
      <w:pPr>
        <w:numPr>
          <w:ilvl w:val="0"/>
          <w:numId w:val="10"/>
        </w:numPr>
        <w:rPr>
          <w:lang w:val="fr-FR"/>
        </w:rPr>
      </w:pPr>
      <w:r w:rsidRPr="008C364D">
        <w:rPr>
          <w:b/>
          <w:bCs/>
          <w:lang w:val="fr-FR"/>
        </w:rPr>
        <w:t xml:space="preserve">Légalité </w:t>
      </w:r>
      <w:r w:rsidR="00567D01" w:rsidRPr="008C364D">
        <w:rPr>
          <w:b/>
          <w:bCs/>
          <w:lang w:val="fr-FR"/>
        </w:rPr>
        <w:t xml:space="preserve">: </w:t>
      </w:r>
      <w:r w:rsidR="001E3E00" w:rsidRPr="008C364D">
        <w:rPr>
          <w:lang w:val="fr-FR"/>
        </w:rPr>
        <w:t>La mention d’une marque particulière est contraire à la libre concurrence et à l’égalité de traitement, à moins qu’elle ne soit objectivement justifiée.</w:t>
      </w:r>
    </w:p>
    <w:p w14:paraId="55384CCA" w14:textId="79942ED9" w:rsidR="001F159E" w:rsidRPr="008C364D" w:rsidRDefault="005C1089" w:rsidP="001F159E">
      <w:pPr>
        <w:numPr>
          <w:ilvl w:val="0"/>
          <w:numId w:val="10"/>
        </w:numPr>
        <w:rPr>
          <w:lang w:val="fr-FR"/>
        </w:rPr>
      </w:pPr>
      <w:r w:rsidRPr="008C364D">
        <w:rPr>
          <w:b/>
          <w:bCs/>
          <w:lang w:val="fr-FR"/>
        </w:rPr>
        <w:t xml:space="preserve">Correction </w:t>
      </w:r>
      <w:r w:rsidR="001F159E" w:rsidRPr="008C364D">
        <w:rPr>
          <w:b/>
          <w:bCs/>
          <w:lang w:val="fr-FR"/>
        </w:rPr>
        <w:t>:</w:t>
      </w:r>
      <w:r w:rsidR="001F159E" w:rsidRPr="008C364D">
        <w:rPr>
          <w:lang w:val="fr-FR"/>
        </w:rPr>
        <w:br/>
      </w:r>
      <w:r w:rsidR="001E3E00" w:rsidRPr="008C364D">
        <w:rPr>
          <w:lang w:val="fr-FR"/>
        </w:rPr>
        <w:t xml:space="preserve"> « Les ordinateurs portables doivent satisfaire aux normes de performance environnementale suivantes : classe d’efficacité énergétique A ou supérieure, matériaux à faible toxicité et conformité avec </w:t>
      </w:r>
      <w:r w:rsidR="0010080C" w:rsidRPr="008C364D">
        <w:rPr>
          <w:lang w:val="fr-FR"/>
        </w:rPr>
        <w:t>des</w:t>
      </w:r>
      <w:r w:rsidR="001E3E00" w:rsidRPr="008C364D">
        <w:rPr>
          <w:lang w:val="fr-FR"/>
        </w:rPr>
        <w:t xml:space="preserve"> label</w:t>
      </w:r>
      <w:r w:rsidR="0010080C" w:rsidRPr="008C364D">
        <w:rPr>
          <w:lang w:val="fr-FR"/>
        </w:rPr>
        <w:t>s</w:t>
      </w:r>
      <w:r w:rsidR="001E3E00" w:rsidRPr="008C364D">
        <w:rPr>
          <w:lang w:val="fr-FR"/>
        </w:rPr>
        <w:t xml:space="preserve"> écologique</w:t>
      </w:r>
      <w:r w:rsidR="0010080C" w:rsidRPr="008C364D">
        <w:rPr>
          <w:lang w:val="fr-FR"/>
        </w:rPr>
        <w:t>s</w:t>
      </w:r>
      <w:r w:rsidR="001E3E00" w:rsidRPr="008C364D">
        <w:rPr>
          <w:lang w:val="fr-FR"/>
        </w:rPr>
        <w:t xml:space="preserve"> reconnu</w:t>
      </w:r>
      <w:r w:rsidR="0010080C" w:rsidRPr="008C364D">
        <w:rPr>
          <w:lang w:val="fr-FR"/>
        </w:rPr>
        <w:t>s</w:t>
      </w:r>
      <w:r w:rsidR="001E3E00" w:rsidRPr="008C364D">
        <w:rPr>
          <w:lang w:val="fr-FR"/>
        </w:rPr>
        <w:t xml:space="preserve"> ou des normes équivalentes. »</w:t>
      </w:r>
    </w:p>
    <w:p w14:paraId="6BE6BB12" w14:textId="6AE0EA53" w:rsidR="001F159E" w:rsidRPr="008C364D" w:rsidRDefault="005C1089" w:rsidP="001F159E">
      <w:pPr>
        <w:rPr>
          <w:lang w:val="fr-FR"/>
        </w:rPr>
      </w:pPr>
      <w:r w:rsidRPr="008C364D">
        <w:rPr>
          <w:b/>
          <w:bCs/>
          <w:lang w:val="fr-FR"/>
        </w:rPr>
        <w:t xml:space="preserve">À faire </w:t>
      </w:r>
      <w:r w:rsidR="001F159E" w:rsidRPr="008C364D">
        <w:rPr>
          <w:b/>
          <w:bCs/>
          <w:lang w:val="fr-FR"/>
        </w:rPr>
        <w:t>:</w:t>
      </w:r>
      <w:r w:rsidR="001F159E" w:rsidRPr="008C364D">
        <w:rPr>
          <w:lang w:val="fr-FR"/>
        </w:rPr>
        <w:t xml:space="preserve"> </w:t>
      </w:r>
      <w:r w:rsidR="001E3E00" w:rsidRPr="008C364D">
        <w:rPr>
          <w:lang w:val="fr-FR"/>
        </w:rPr>
        <w:t>définir les exigences de durabilité en termes de fonctionnalité ou de performance.</w:t>
      </w:r>
      <w:r w:rsidR="001F159E" w:rsidRPr="008C364D">
        <w:rPr>
          <w:lang w:val="fr-FR"/>
        </w:rPr>
        <w:br/>
      </w:r>
      <w:r w:rsidRPr="008C364D">
        <w:rPr>
          <w:b/>
          <w:bCs/>
          <w:lang w:val="fr-FR"/>
        </w:rPr>
        <w:t>À ne pas faire</w:t>
      </w:r>
      <w:r w:rsidR="001E3E00" w:rsidRPr="008C364D">
        <w:rPr>
          <w:b/>
          <w:bCs/>
          <w:lang w:val="fr-FR"/>
        </w:rPr>
        <w:t xml:space="preserve"> </w:t>
      </w:r>
      <w:r w:rsidR="001F159E" w:rsidRPr="008C364D">
        <w:rPr>
          <w:b/>
          <w:bCs/>
          <w:lang w:val="fr-FR"/>
        </w:rPr>
        <w:t>:</w:t>
      </w:r>
      <w:r w:rsidR="001F159E" w:rsidRPr="008C364D">
        <w:rPr>
          <w:lang w:val="fr-FR"/>
        </w:rPr>
        <w:t xml:space="preserve"> </w:t>
      </w:r>
      <w:r w:rsidR="001E3E00" w:rsidRPr="008C364D">
        <w:rPr>
          <w:lang w:val="fr-FR"/>
        </w:rPr>
        <w:t>les noms de marques comme abréviations pour la durabilité.</w:t>
      </w:r>
    </w:p>
    <w:p w14:paraId="07F929FD" w14:textId="77777777" w:rsidR="00AE4366" w:rsidRPr="008C364D" w:rsidRDefault="00AE4366" w:rsidP="001F159E">
      <w:pPr>
        <w:rPr>
          <w:rFonts w:cs="Segoe UI Emoji"/>
          <w:b/>
          <w:bCs/>
          <w:lang w:val="fr-FR"/>
        </w:rPr>
      </w:pPr>
    </w:p>
    <w:p w14:paraId="5630CDD8" w14:textId="70E3A533" w:rsidR="001F159E" w:rsidRPr="008C364D" w:rsidRDefault="001F159E" w:rsidP="00AE4366">
      <w:pPr>
        <w:pStyle w:val="berschrift2"/>
        <w:rPr>
          <w:rFonts w:asciiTheme="minorHAnsi" w:hAnsiTheme="minorHAnsi"/>
          <w:lang w:val="fr-FR"/>
        </w:rPr>
      </w:pPr>
      <w:r w:rsidRPr="008C364D">
        <w:rPr>
          <w:rFonts w:asciiTheme="minorHAnsi" w:hAnsiTheme="minorHAnsi"/>
          <w:lang w:val="fr-FR"/>
        </w:rPr>
        <w:t>S</w:t>
      </w:r>
      <w:r w:rsidR="001E3E00" w:rsidRPr="008C364D">
        <w:rPr>
          <w:rFonts w:asciiTheme="minorHAnsi" w:hAnsiTheme="minorHAnsi"/>
          <w:lang w:val="fr-FR"/>
        </w:rPr>
        <w:t>cé</w:t>
      </w:r>
      <w:r w:rsidRPr="008C364D">
        <w:rPr>
          <w:rFonts w:asciiTheme="minorHAnsi" w:hAnsiTheme="minorHAnsi"/>
          <w:lang w:val="fr-FR"/>
        </w:rPr>
        <w:t xml:space="preserve">nario </w:t>
      </w:r>
      <w:r w:rsidR="002E170F" w:rsidRPr="008C364D">
        <w:rPr>
          <w:rFonts w:asciiTheme="minorHAnsi" w:hAnsiTheme="minorHAnsi"/>
          <w:lang w:val="fr-FR"/>
        </w:rPr>
        <w:t>4</w:t>
      </w:r>
      <w:r w:rsidR="001E3E00" w:rsidRPr="008C364D">
        <w:rPr>
          <w:rFonts w:asciiTheme="minorHAnsi" w:hAnsiTheme="minorHAnsi"/>
          <w:lang w:val="fr-FR"/>
        </w:rPr>
        <w:t xml:space="preserve"> </w:t>
      </w:r>
      <w:r w:rsidRPr="008C364D">
        <w:rPr>
          <w:rFonts w:asciiTheme="minorHAnsi" w:hAnsiTheme="minorHAnsi"/>
          <w:lang w:val="fr-FR"/>
        </w:rPr>
        <w:t xml:space="preserve">: </w:t>
      </w:r>
      <w:r w:rsidR="001E3E00" w:rsidRPr="008C364D">
        <w:rPr>
          <w:rFonts w:asciiTheme="minorHAnsi" w:hAnsiTheme="minorHAnsi"/>
          <w:lang w:val="fr-FR"/>
        </w:rPr>
        <w:t>services de nettoyage</w:t>
      </w:r>
    </w:p>
    <w:p w14:paraId="74F7255D" w14:textId="3E9B527D" w:rsidR="0073446D" w:rsidRPr="008C364D" w:rsidRDefault="001E3E00" w:rsidP="001F159E">
      <w:pPr>
        <w:rPr>
          <w:lang w:val="fr-FR"/>
        </w:rPr>
      </w:pPr>
      <w:r w:rsidRPr="008C364D">
        <w:rPr>
          <w:lang w:val="fr-FR"/>
        </w:rPr>
        <w:t xml:space="preserve">Critères de sélection </w:t>
      </w:r>
      <w:r w:rsidR="0073446D" w:rsidRPr="008C364D">
        <w:rPr>
          <w:lang w:val="fr-FR"/>
        </w:rPr>
        <w:t>:</w:t>
      </w:r>
      <w:r w:rsidRPr="008C364D">
        <w:rPr>
          <w:lang w:val="fr-FR"/>
        </w:rPr>
        <w:t xml:space="preserve"> « Les soumissionnaires doivent être certifiés ISO 14001. »</w:t>
      </w:r>
    </w:p>
    <w:p w14:paraId="5B65687E" w14:textId="67B869E3" w:rsidR="001F159E" w:rsidRPr="008C364D" w:rsidRDefault="001F159E" w:rsidP="001F159E">
      <w:pPr>
        <w:rPr>
          <w:lang w:val="fr-FR"/>
        </w:rPr>
      </w:pPr>
      <w:r w:rsidRPr="008C364D">
        <w:rPr>
          <w:b/>
          <w:bCs/>
          <w:lang w:val="fr-FR"/>
        </w:rPr>
        <w:t>Analys</w:t>
      </w:r>
      <w:r w:rsidR="0073446D" w:rsidRPr="008C364D">
        <w:rPr>
          <w:b/>
          <w:bCs/>
          <w:lang w:val="fr-FR"/>
        </w:rPr>
        <w:t>e</w:t>
      </w:r>
      <w:r w:rsidR="001E3E00" w:rsidRPr="008C364D">
        <w:rPr>
          <w:b/>
          <w:bCs/>
          <w:lang w:val="fr-FR"/>
        </w:rPr>
        <w:t xml:space="preserve"> </w:t>
      </w:r>
      <w:r w:rsidRPr="008C364D">
        <w:rPr>
          <w:b/>
          <w:bCs/>
          <w:lang w:val="fr-FR"/>
        </w:rPr>
        <w:t>:</w:t>
      </w:r>
    </w:p>
    <w:p w14:paraId="5C669EF6" w14:textId="2C0B1666" w:rsidR="001F159E" w:rsidRPr="008C364D" w:rsidRDefault="001E3E00" w:rsidP="001F159E">
      <w:pPr>
        <w:numPr>
          <w:ilvl w:val="0"/>
          <w:numId w:val="11"/>
        </w:numPr>
        <w:rPr>
          <w:lang w:val="fr-FR"/>
        </w:rPr>
      </w:pPr>
      <w:r w:rsidRPr="008C364D">
        <w:rPr>
          <w:b/>
          <w:bCs/>
          <w:lang w:val="fr-FR"/>
        </w:rPr>
        <w:t xml:space="preserve">Niveau </w:t>
      </w:r>
      <w:r w:rsidR="001F159E" w:rsidRPr="008C364D">
        <w:rPr>
          <w:b/>
          <w:bCs/>
          <w:lang w:val="fr-FR"/>
        </w:rPr>
        <w:t>:</w:t>
      </w:r>
      <w:r w:rsidR="001F159E" w:rsidRPr="008C364D">
        <w:rPr>
          <w:lang w:val="fr-FR"/>
        </w:rPr>
        <w:t xml:space="preserve"> </w:t>
      </w:r>
      <w:r w:rsidRPr="008C364D">
        <w:rPr>
          <w:lang w:val="fr-FR"/>
        </w:rPr>
        <w:t xml:space="preserve">sélection </w:t>
      </w:r>
      <w:r w:rsidR="0073446D" w:rsidRPr="008C364D">
        <w:rPr>
          <w:lang w:val="fr-FR"/>
        </w:rPr>
        <w:t>(</w:t>
      </w:r>
      <w:r w:rsidRPr="008C364D">
        <w:rPr>
          <w:lang w:val="fr-FR"/>
        </w:rPr>
        <w:t>q</w:t>
      </w:r>
      <w:r w:rsidR="0073446D" w:rsidRPr="008C364D">
        <w:rPr>
          <w:lang w:val="fr-FR"/>
        </w:rPr>
        <w:t>ualifi</w:t>
      </w:r>
      <w:r w:rsidRPr="008C364D">
        <w:rPr>
          <w:lang w:val="fr-FR"/>
        </w:rPr>
        <w:t>c</w:t>
      </w:r>
      <w:r w:rsidR="0073446D" w:rsidRPr="008C364D">
        <w:rPr>
          <w:lang w:val="fr-FR"/>
        </w:rPr>
        <w:t>ation)</w:t>
      </w:r>
    </w:p>
    <w:p w14:paraId="67ED2080" w14:textId="1A854F68" w:rsidR="001F159E" w:rsidRPr="008C364D" w:rsidRDefault="001E3E00" w:rsidP="001F159E">
      <w:pPr>
        <w:numPr>
          <w:ilvl w:val="0"/>
          <w:numId w:val="11"/>
        </w:numPr>
        <w:rPr>
          <w:lang w:val="fr-FR"/>
        </w:rPr>
      </w:pPr>
      <w:r w:rsidRPr="008C364D">
        <w:rPr>
          <w:b/>
          <w:bCs/>
          <w:lang w:val="fr-FR"/>
        </w:rPr>
        <w:t xml:space="preserve">Légalité </w:t>
      </w:r>
      <w:r w:rsidR="001F159E" w:rsidRPr="008C364D">
        <w:rPr>
          <w:b/>
          <w:bCs/>
          <w:lang w:val="fr-FR"/>
        </w:rPr>
        <w:t>:</w:t>
      </w:r>
      <w:r w:rsidR="001F159E" w:rsidRPr="008C364D">
        <w:rPr>
          <w:lang w:val="fr-FR"/>
        </w:rPr>
        <w:t xml:space="preserve"> </w:t>
      </w:r>
      <w:r w:rsidRPr="008C364D">
        <w:rPr>
          <w:lang w:val="fr-FR"/>
        </w:rPr>
        <w:t>La demande d’un certificat particulier est discriminatoire lorsqu’il existe des alternatives.</w:t>
      </w:r>
    </w:p>
    <w:p w14:paraId="7D72495F" w14:textId="17D082F8" w:rsidR="0073446D" w:rsidRPr="008C364D" w:rsidRDefault="001E3E00" w:rsidP="001F159E">
      <w:pPr>
        <w:numPr>
          <w:ilvl w:val="0"/>
          <w:numId w:val="11"/>
        </w:numPr>
        <w:rPr>
          <w:lang w:val="fr-FR"/>
        </w:rPr>
      </w:pPr>
      <w:r w:rsidRPr="008C364D">
        <w:rPr>
          <w:b/>
          <w:bCs/>
          <w:lang w:val="fr-FR"/>
        </w:rPr>
        <w:t xml:space="preserve">Correction </w:t>
      </w:r>
      <w:r w:rsidR="001F159E" w:rsidRPr="008C364D">
        <w:rPr>
          <w:b/>
          <w:bCs/>
          <w:lang w:val="fr-FR"/>
        </w:rPr>
        <w:t>:</w:t>
      </w:r>
      <w:r w:rsidR="001F159E" w:rsidRPr="008C364D">
        <w:rPr>
          <w:lang w:val="fr-FR"/>
        </w:rPr>
        <w:br/>
      </w:r>
      <w:r w:rsidRPr="008C364D">
        <w:rPr>
          <w:lang w:val="fr-FR"/>
        </w:rPr>
        <w:t>« Les soumissionnaires doivent démontrer un système de gestion environnementale conforme à la norme ISO 14001 et vérifié par une certification reconnue ou des preuves équivalentes telles que l’EMAS. »</w:t>
      </w:r>
    </w:p>
    <w:p w14:paraId="4535CFAD" w14:textId="3E2B66BD" w:rsidR="001F159E" w:rsidRPr="008C364D" w:rsidRDefault="001E3E00" w:rsidP="001F159E">
      <w:pPr>
        <w:numPr>
          <w:ilvl w:val="0"/>
          <w:numId w:val="11"/>
        </w:numPr>
        <w:rPr>
          <w:lang w:val="fr-FR"/>
        </w:rPr>
      </w:pPr>
      <w:r w:rsidRPr="008C364D">
        <w:rPr>
          <w:b/>
          <w:bCs/>
          <w:lang w:val="fr-FR"/>
        </w:rPr>
        <w:t xml:space="preserve">À faire </w:t>
      </w:r>
      <w:r w:rsidR="001F159E" w:rsidRPr="008C364D">
        <w:rPr>
          <w:b/>
          <w:bCs/>
          <w:lang w:val="fr-FR"/>
        </w:rPr>
        <w:t>:</w:t>
      </w:r>
      <w:r w:rsidR="001F159E" w:rsidRPr="008C364D">
        <w:rPr>
          <w:lang w:val="fr-FR"/>
        </w:rPr>
        <w:t xml:space="preserve"> </w:t>
      </w:r>
      <w:r w:rsidR="0010080C" w:rsidRPr="008C364D">
        <w:rPr>
          <w:lang w:val="fr-FR"/>
        </w:rPr>
        <w:t>a</w:t>
      </w:r>
      <w:r w:rsidR="00CE2E68" w:rsidRPr="008C364D">
        <w:rPr>
          <w:lang w:val="fr-FR"/>
        </w:rPr>
        <w:t>utoriser des certificats de performance équivalents.</w:t>
      </w:r>
      <w:r w:rsidR="001F159E" w:rsidRPr="008C364D">
        <w:rPr>
          <w:lang w:val="fr-FR"/>
        </w:rPr>
        <w:br/>
      </w:r>
      <w:r w:rsidRPr="008C364D">
        <w:rPr>
          <w:b/>
          <w:bCs/>
          <w:lang w:val="fr-FR"/>
        </w:rPr>
        <w:t xml:space="preserve">À ne pas faire </w:t>
      </w:r>
      <w:r w:rsidR="001F159E" w:rsidRPr="008C364D">
        <w:rPr>
          <w:b/>
          <w:bCs/>
          <w:lang w:val="fr-FR"/>
        </w:rPr>
        <w:t>:</w:t>
      </w:r>
      <w:r w:rsidR="001F159E" w:rsidRPr="008C364D">
        <w:rPr>
          <w:lang w:val="fr-FR"/>
        </w:rPr>
        <w:t xml:space="preserve"> </w:t>
      </w:r>
      <w:r w:rsidR="0010080C" w:rsidRPr="008C364D">
        <w:rPr>
          <w:lang w:val="fr-FR"/>
        </w:rPr>
        <w:t>u</w:t>
      </w:r>
      <w:r w:rsidR="00CE2E68" w:rsidRPr="008C364D">
        <w:rPr>
          <w:lang w:val="fr-FR"/>
        </w:rPr>
        <w:t>ne seule certification spécifique est requise.</w:t>
      </w:r>
    </w:p>
    <w:p w14:paraId="023CA57C" w14:textId="77777777" w:rsidR="00EA7BDD" w:rsidRPr="008C364D" w:rsidRDefault="00EA7BDD" w:rsidP="009D5F0A">
      <w:pPr>
        <w:rPr>
          <w:lang w:val="fr-FR"/>
        </w:rPr>
      </w:pPr>
    </w:p>
    <w:p w14:paraId="7EA1B8F3" w14:textId="178C8339" w:rsidR="002651E3" w:rsidRPr="008C364D" w:rsidRDefault="002651E3" w:rsidP="002651E3">
      <w:pPr>
        <w:pStyle w:val="berschrift2"/>
        <w:rPr>
          <w:rFonts w:asciiTheme="minorHAnsi" w:hAnsiTheme="minorHAnsi"/>
          <w:lang w:val="fr-FR"/>
        </w:rPr>
      </w:pPr>
      <w:r w:rsidRPr="008C364D">
        <w:rPr>
          <w:rFonts w:asciiTheme="minorHAnsi" w:hAnsiTheme="minorHAnsi"/>
          <w:lang w:val="fr-FR"/>
        </w:rPr>
        <w:t>S</w:t>
      </w:r>
      <w:r w:rsidR="00CE2E68" w:rsidRPr="008C364D">
        <w:rPr>
          <w:rFonts w:asciiTheme="minorHAnsi" w:hAnsiTheme="minorHAnsi"/>
          <w:lang w:val="fr-FR"/>
        </w:rPr>
        <w:t>cé</w:t>
      </w:r>
      <w:r w:rsidRPr="008C364D">
        <w:rPr>
          <w:rFonts w:asciiTheme="minorHAnsi" w:hAnsiTheme="minorHAnsi"/>
          <w:lang w:val="fr-FR"/>
        </w:rPr>
        <w:t>nario 5</w:t>
      </w:r>
      <w:r w:rsidR="00CE2E68" w:rsidRPr="008C364D">
        <w:rPr>
          <w:rFonts w:asciiTheme="minorHAnsi" w:hAnsiTheme="minorHAnsi"/>
          <w:lang w:val="fr-FR"/>
        </w:rPr>
        <w:t xml:space="preserve"> </w:t>
      </w:r>
      <w:r w:rsidRPr="008C364D">
        <w:rPr>
          <w:rFonts w:asciiTheme="minorHAnsi" w:hAnsiTheme="minorHAnsi"/>
          <w:lang w:val="fr-FR"/>
        </w:rPr>
        <w:t xml:space="preserve">: </w:t>
      </w:r>
      <w:r w:rsidR="00CE2E68" w:rsidRPr="008C364D">
        <w:rPr>
          <w:rFonts w:asciiTheme="minorHAnsi" w:hAnsiTheme="minorHAnsi"/>
          <w:lang w:val="fr-FR"/>
        </w:rPr>
        <w:t>fourniture de vêtements de travail</w:t>
      </w:r>
    </w:p>
    <w:p w14:paraId="0714C812" w14:textId="31E9CA99" w:rsidR="0073446D" w:rsidRPr="008C364D" w:rsidRDefault="00CE2E68" w:rsidP="002651E3">
      <w:pPr>
        <w:rPr>
          <w:lang w:val="fr-FR"/>
        </w:rPr>
      </w:pPr>
      <w:r w:rsidRPr="008C364D">
        <w:rPr>
          <w:lang w:val="fr-FR"/>
        </w:rPr>
        <w:t>Le pouvoir adjudicateur exige que tous les vêtements livrés soient « fabriqués de manière éthique » et que les fournisseurs prouvent qu’ils respectent pleinement toutes les conventions de l’OIT tout au long de leur chaîne d’approvisionnement.</w:t>
      </w:r>
    </w:p>
    <w:p w14:paraId="2F95A51B" w14:textId="710E26B9" w:rsidR="002651E3" w:rsidRPr="008C364D" w:rsidRDefault="002651E3" w:rsidP="002651E3">
      <w:pPr>
        <w:rPr>
          <w:lang w:val="fr-FR"/>
        </w:rPr>
      </w:pPr>
      <w:r w:rsidRPr="008C364D">
        <w:rPr>
          <w:b/>
          <w:bCs/>
          <w:lang w:val="fr-FR"/>
        </w:rPr>
        <w:lastRenderedPageBreak/>
        <w:t>Analys</w:t>
      </w:r>
      <w:r w:rsidR="0073446D" w:rsidRPr="008C364D">
        <w:rPr>
          <w:b/>
          <w:bCs/>
          <w:lang w:val="fr-FR"/>
        </w:rPr>
        <w:t>e</w:t>
      </w:r>
      <w:r w:rsidR="00CE2E68" w:rsidRPr="008C364D">
        <w:rPr>
          <w:b/>
          <w:bCs/>
          <w:lang w:val="fr-FR"/>
        </w:rPr>
        <w:t xml:space="preserve"> </w:t>
      </w:r>
      <w:r w:rsidRPr="008C364D">
        <w:rPr>
          <w:b/>
          <w:bCs/>
          <w:lang w:val="fr-FR"/>
        </w:rPr>
        <w:t>:</w:t>
      </w:r>
    </w:p>
    <w:p w14:paraId="56F29D71" w14:textId="221146CA" w:rsidR="00CD7012" w:rsidRPr="008C364D" w:rsidRDefault="00CE2E68" w:rsidP="002651E3">
      <w:pPr>
        <w:numPr>
          <w:ilvl w:val="0"/>
          <w:numId w:val="11"/>
        </w:numPr>
        <w:rPr>
          <w:lang w:val="fr-FR"/>
        </w:rPr>
      </w:pPr>
      <w:r w:rsidRPr="008C364D">
        <w:rPr>
          <w:b/>
          <w:bCs/>
          <w:lang w:val="fr-FR"/>
        </w:rPr>
        <w:t xml:space="preserve">Niveau </w:t>
      </w:r>
      <w:r w:rsidR="002651E3" w:rsidRPr="008C364D">
        <w:rPr>
          <w:b/>
          <w:bCs/>
          <w:lang w:val="fr-FR"/>
        </w:rPr>
        <w:t>:</w:t>
      </w:r>
      <w:r w:rsidR="002651E3" w:rsidRPr="008C364D">
        <w:rPr>
          <w:lang w:val="fr-FR"/>
        </w:rPr>
        <w:t xml:space="preserve"> </w:t>
      </w:r>
      <w:r w:rsidRPr="008C364D">
        <w:rPr>
          <w:lang w:val="fr-FR"/>
        </w:rPr>
        <w:t xml:space="preserve">sélection </w:t>
      </w:r>
      <w:r w:rsidR="00CD7012" w:rsidRPr="008C364D">
        <w:rPr>
          <w:lang w:val="fr-FR"/>
        </w:rPr>
        <w:t>(</w:t>
      </w:r>
      <w:r w:rsidRPr="008C364D">
        <w:rPr>
          <w:lang w:val="fr-FR"/>
        </w:rPr>
        <w:t>q</w:t>
      </w:r>
      <w:r w:rsidR="00CD7012" w:rsidRPr="008C364D">
        <w:rPr>
          <w:lang w:val="fr-FR"/>
        </w:rPr>
        <w:t>ualifi</w:t>
      </w:r>
      <w:r w:rsidRPr="008C364D">
        <w:rPr>
          <w:lang w:val="fr-FR"/>
        </w:rPr>
        <w:t>c</w:t>
      </w:r>
      <w:r w:rsidR="00CD7012" w:rsidRPr="008C364D">
        <w:rPr>
          <w:lang w:val="fr-FR"/>
        </w:rPr>
        <w:t xml:space="preserve">ation) </w:t>
      </w:r>
      <w:r w:rsidRPr="008C364D">
        <w:rPr>
          <w:lang w:val="fr-FR"/>
        </w:rPr>
        <w:t>ou exécution du contrat</w:t>
      </w:r>
      <w:r w:rsidR="0010080C" w:rsidRPr="008C364D">
        <w:rPr>
          <w:lang w:val="fr-FR"/>
        </w:rPr>
        <w:t>.</w:t>
      </w:r>
    </w:p>
    <w:p w14:paraId="043BFDFA" w14:textId="42E90F24" w:rsidR="002651E3" w:rsidRPr="008C364D" w:rsidRDefault="00CE2E68" w:rsidP="002651E3">
      <w:pPr>
        <w:numPr>
          <w:ilvl w:val="0"/>
          <w:numId w:val="11"/>
        </w:numPr>
        <w:rPr>
          <w:lang w:val="fr-FR"/>
        </w:rPr>
      </w:pPr>
      <w:r w:rsidRPr="008C364D">
        <w:rPr>
          <w:b/>
          <w:bCs/>
          <w:lang w:val="fr-FR"/>
        </w:rPr>
        <w:t xml:space="preserve">Légalité </w:t>
      </w:r>
      <w:r w:rsidR="002651E3" w:rsidRPr="008C364D">
        <w:rPr>
          <w:b/>
          <w:bCs/>
          <w:lang w:val="fr-FR"/>
        </w:rPr>
        <w:t>:</w:t>
      </w:r>
      <w:r w:rsidR="002651E3" w:rsidRPr="008C364D">
        <w:rPr>
          <w:lang w:val="fr-FR"/>
        </w:rPr>
        <w:t xml:space="preserve"> </w:t>
      </w:r>
      <w:r w:rsidRPr="008C364D">
        <w:rPr>
          <w:lang w:val="fr-FR"/>
        </w:rPr>
        <w:t>L’exigence est trop large, trop vague et objectivement difficile à vérifier. Le droit des marchés publics exige que les critères soient contractuels, mesurables et vérifiables.</w:t>
      </w:r>
    </w:p>
    <w:p w14:paraId="13C6E6AF" w14:textId="33C6159E" w:rsidR="002651E3" w:rsidRPr="008C364D" w:rsidRDefault="00CE2E68" w:rsidP="002651E3">
      <w:pPr>
        <w:numPr>
          <w:ilvl w:val="0"/>
          <w:numId w:val="11"/>
        </w:numPr>
        <w:rPr>
          <w:lang w:val="fr-FR"/>
        </w:rPr>
      </w:pPr>
      <w:r w:rsidRPr="008C364D">
        <w:rPr>
          <w:b/>
          <w:bCs/>
          <w:lang w:val="fr-FR"/>
        </w:rPr>
        <w:t>C</w:t>
      </w:r>
      <w:r w:rsidR="00CD7012" w:rsidRPr="008C364D">
        <w:rPr>
          <w:b/>
          <w:bCs/>
          <w:lang w:val="fr-FR"/>
        </w:rPr>
        <w:t>orre</w:t>
      </w:r>
      <w:r w:rsidRPr="008C364D">
        <w:rPr>
          <w:b/>
          <w:bCs/>
          <w:lang w:val="fr-FR"/>
        </w:rPr>
        <w:t>c</w:t>
      </w:r>
      <w:r w:rsidR="00CD7012" w:rsidRPr="008C364D">
        <w:rPr>
          <w:b/>
          <w:bCs/>
          <w:lang w:val="fr-FR"/>
        </w:rPr>
        <w:t>t</w:t>
      </w:r>
      <w:r w:rsidRPr="008C364D">
        <w:rPr>
          <w:b/>
          <w:bCs/>
          <w:lang w:val="fr-FR"/>
        </w:rPr>
        <w:t xml:space="preserve">ion </w:t>
      </w:r>
      <w:r w:rsidR="002651E3" w:rsidRPr="008C364D">
        <w:rPr>
          <w:b/>
          <w:bCs/>
          <w:lang w:val="fr-FR"/>
        </w:rPr>
        <w:t>:</w:t>
      </w:r>
      <w:r w:rsidR="002651E3" w:rsidRPr="008C364D">
        <w:rPr>
          <w:lang w:val="fr-FR"/>
        </w:rPr>
        <w:br/>
      </w:r>
      <w:r w:rsidRPr="008C364D">
        <w:rPr>
          <w:lang w:val="fr-FR"/>
        </w:rPr>
        <w:t xml:space="preserve"> « Le pouvoir adjudicateur exige que les vêtements livrés soient fabriqués conformément aux normes fondamentales du travail de l’Organisation internationale du travail (OIT) (conventions nos 29, 87, 98, 100, 105, 111, 138 et 182). »</w:t>
      </w:r>
    </w:p>
    <w:p w14:paraId="3391788C" w14:textId="70036771" w:rsidR="00CD7012" w:rsidRPr="008C364D" w:rsidRDefault="00CE2E68" w:rsidP="00CD7012">
      <w:pPr>
        <w:rPr>
          <w:lang w:val="fr-FR"/>
        </w:rPr>
      </w:pPr>
      <w:r w:rsidRPr="008C364D">
        <w:rPr>
          <w:lang w:val="fr-FR"/>
        </w:rPr>
        <w:t>La conformité peut être démontrée par </w:t>
      </w:r>
      <w:r w:rsidR="00CD7012" w:rsidRPr="008C364D">
        <w:rPr>
          <w:lang w:val="fr-FR"/>
        </w:rPr>
        <w:t>:</w:t>
      </w:r>
    </w:p>
    <w:p w14:paraId="4CB6512E" w14:textId="7A175B62" w:rsidR="00CD7012" w:rsidRPr="008C364D" w:rsidRDefault="00CE2E68" w:rsidP="00CD7012">
      <w:pPr>
        <w:pStyle w:val="Listenabsatz"/>
        <w:numPr>
          <w:ilvl w:val="0"/>
          <w:numId w:val="17"/>
        </w:numPr>
        <w:rPr>
          <w:lang w:val="fr-FR"/>
        </w:rPr>
      </w:pPr>
      <w:proofErr w:type="gramStart"/>
      <w:r w:rsidRPr="008C364D">
        <w:rPr>
          <w:lang w:val="fr-FR"/>
        </w:rPr>
        <w:t>l’adhésion</w:t>
      </w:r>
      <w:proofErr w:type="gramEnd"/>
      <w:r w:rsidRPr="008C364D">
        <w:rPr>
          <w:lang w:val="fr-FR"/>
        </w:rPr>
        <w:t xml:space="preserve"> ou la certification à un programme de conformité sociale reconnu (par exemple, </w:t>
      </w:r>
      <w:proofErr w:type="spellStart"/>
      <w:r w:rsidRPr="008C364D">
        <w:rPr>
          <w:lang w:val="fr-FR"/>
        </w:rPr>
        <w:t>Fair</w:t>
      </w:r>
      <w:proofErr w:type="spellEnd"/>
      <w:r w:rsidRPr="008C364D">
        <w:rPr>
          <w:lang w:val="fr-FR"/>
        </w:rPr>
        <w:t xml:space="preserve"> Wear </w:t>
      </w:r>
      <w:proofErr w:type="spellStart"/>
      <w:r w:rsidRPr="008C364D">
        <w:rPr>
          <w:lang w:val="fr-FR"/>
        </w:rPr>
        <w:t>Foundation</w:t>
      </w:r>
      <w:proofErr w:type="spellEnd"/>
      <w:r w:rsidRPr="008C364D">
        <w:rPr>
          <w:lang w:val="fr-FR"/>
        </w:rPr>
        <w:t>, SA8000 ou équivalent)</w:t>
      </w:r>
      <w:r w:rsidR="002F2E95" w:rsidRPr="008C364D">
        <w:rPr>
          <w:lang w:val="fr-FR"/>
        </w:rPr>
        <w:t xml:space="preserve"> </w:t>
      </w:r>
      <w:r w:rsidRPr="008C364D">
        <w:rPr>
          <w:lang w:val="fr-FR"/>
        </w:rPr>
        <w:t xml:space="preserve">; </w:t>
      </w:r>
      <w:proofErr w:type="gramStart"/>
      <w:r w:rsidRPr="008C364D">
        <w:rPr>
          <w:lang w:val="fr-FR"/>
        </w:rPr>
        <w:t>ou</w:t>
      </w:r>
      <w:proofErr w:type="gramEnd"/>
    </w:p>
    <w:p w14:paraId="47EB809A" w14:textId="4CB8E168" w:rsidR="00CD7012" w:rsidRPr="008C364D" w:rsidRDefault="003B21C0" w:rsidP="00CD7012">
      <w:pPr>
        <w:pStyle w:val="Listenabsatz"/>
        <w:numPr>
          <w:ilvl w:val="0"/>
          <w:numId w:val="17"/>
        </w:numPr>
        <w:rPr>
          <w:lang w:val="fr-FR"/>
        </w:rPr>
      </w:pPr>
      <w:proofErr w:type="gramStart"/>
      <w:r w:rsidRPr="008C364D">
        <w:rPr>
          <w:lang w:val="fr-FR"/>
        </w:rPr>
        <w:t>d</w:t>
      </w:r>
      <w:r w:rsidR="002F2E95" w:rsidRPr="008C364D">
        <w:rPr>
          <w:lang w:val="fr-FR"/>
        </w:rPr>
        <w:t>es</w:t>
      </w:r>
      <w:proofErr w:type="gramEnd"/>
      <w:r w:rsidR="002F2E95" w:rsidRPr="008C364D">
        <w:rPr>
          <w:lang w:val="fr-FR"/>
        </w:rPr>
        <w:t xml:space="preserve"> preuves documentaires attestant que les fournisseurs surveillent et garantissent le respect de ces normes dans leurs sites de production</w:t>
      </w:r>
      <w:r w:rsidR="00CD7012" w:rsidRPr="008C364D">
        <w:rPr>
          <w:lang w:val="fr-FR"/>
        </w:rPr>
        <w:t>.</w:t>
      </w:r>
    </w:p>
    <w:p w14:paraId="3FF73D55" w14:textId="7D7BC89A" w:rsidR="00CD7012" w:rsidRPr="008C364D" w:rsidRDefault="002F2E95" w:rsidP="00266FA4">
      <w:pPr>
        <w:rPr>
          <w:lang w:val="fr-FR"/>
        </w:rPr>
      </w:pPr>
      <w:r w:rsidRPr="008C364D">
        <w:rPr>
          <w:lang w:val="fr-FR"/>
        </w:rPr>
        <w:t>Cette exigence est appliquée en tant que clause d’exécution du contrat et vérifiée par les rapports des fournisseurs et, le cas échéant, par des audits indépendants au cours de l’exécution.</w:t>
      </w:r>
    </w:p>
    <w:p w14:paraId="7DA149B5" w14:textId="33988E0E" w:rsidR="002651E3" w:rsidRPr="008C364D" w:rsidRDefault="002F2E95" w:rsidP="009D5F0A">
      <w:pPr>
        <w:rPr>
          <w:lang w:val="fr-FR"/>
        </w:rPr>
      </w:pPr>
      <w:r w:rsidRPr="008C364D">
        <w:rPr>
          <w:b/>
          <w:bCs/>
          <w:lang w:val="fr-FR"/>
        </w:rPr>
        <w:t xml:space="preserve">À faire </w:t>
      </w:r>
      <w:r w:rsidR="00266FA4" w:rsidRPr="008C364D">
        <w:rPr>
          <w:b/>
          <w:bCs/>
          <w:lang w:val="fr-FR"/>
        </w:rPr>
        <w:t>:</w:t>
      </w:r>
      <w:r w:rsidR="00266FA4" w:rsidRPr="008C364D">
        <w:rPr>
          <w:lang w:val="fr-FR"/>
        </w:rPr>
        <w:t xml:space="preserve"> </w:t>
      </w:r>
      <w:r w:rsidRPr="008C364D">
        <w:rPr>
          <w:lang w:val="fr-FR"/>
        </w:rPr>
        <w:t>se référer expressément à certaines normes.</w:t>
      </w:r>
      <w:r w:rsidR="00266FA4" w:rsidRPr="008C364D">
        <w:rPr>
          <w:lang w:val="fr-FR"/>
        </w:rPr>
        <w:br/>
      </w:r>
      <w:r w:rsidRPr="008C364D">
        <w:rPr>
          <w:b/>
          <w:bCs/>
          <w:lang w:val="fr-FR"/>
        </w:rPr>
        <w:t xml:space="preserve">À ne pas faire </w:t>
      </w:r>
      <w:r w:rsidR="00266FA4" w:rsidRPr="008C364D">
        <w:rPr>
          <w:b/>
          <w:bCs/>
          <w:lang w:val="fr-FR"/>
        </w:rPr>
        <w:t>:</w:t>
      </w:r>
      <w:r w:rsidR="00266FA4" w:rsidRPr="008C364D">
        <w:rPr>
          <w:lang w:val="fr-FR"/>
        </w:rPr>
        <w:t xml:space="preserve"> </w:t>
      </w:r>
      <w:r w:rsidRPr="008C364D">
        <w:rPr>
          <w:lang w:val="fr-FR"/>
        </w:rPr>
        <w:t>utiliser des termes vagues ou subjectifs tels que « production éthique », sans définir comment la conformité est vérifiée.</w:t>
      </w:r>
    </w:p>
    <w:sectPr w:rsidR="002651E3" w:rsidRPr="008C364D" w:rsidSect="00146FFA">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6876" w14:textId="77777777" w:rsidR="00583459" w:rsidRDefault="00583459" w:rsidP="009D5F0A">
      <w:r>
        <w:separator/>
      </w:r>
    </w:p>
  </w:endnote>
  <w:endnote w:type="continuationSeparator" w:id="0">
    <w:p w14:paraId="3D8D7DDD" w14:textId="77777777" w:rsidR="00583459" w:rsidRDefault="00583459"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7904" w14:textId="4E4FCF5E" w:rsidR="009D5F0A" w:rsidRPr="009D5F0A" w:rsidRDefault="00146FFA" w:rsidP="009D5F0A">
    <w:pPr>
      <w:pStyle w:val="Fuzeile"/>
      <w:jc w:val="both"/>
      <w:rPr>
        <w:sz w:val="13"/>
        <w:szCs w:val="13"/>
        <w:lang w:val="en-US"/>
      </w:rPr>
    </w:pPr>
    <w:proofErr w:type="spellStart"/>
    <w:r w:rsidRPr="00146FFA">
      <w:rPr>
        <w:sz w:val="13"/>
        <w:szCs w:val="13"/>
        <w:lang w:val="en-US"/>
      </w:rPr>
      <w:t>Financé</w:t>
    </w:r>
    <w:proofErr w:type="spellEnd"/>
    <w:r w:rsidRPr="00146FFA">
      <w:rPr>
        <w:sz w:val="13"/>
        <w:szCs w:val="13"/>
        <w:lang w:val="en-US"/>
      </w:rPr>
      <w:t xml:space="preserve"> par </w:t>
    </w:r>
    <w:proofErr w:type="spellStart"/>
    <w:r w:rsidRPr="00146FFA">
      <w:rPr>
        <w:sz w:val="13"/>
        <w:szCs w:val="13"/>
        <w:lang w:val="en-US"/>
      </w:rPr>
      <w:t>l’Union</w:t>
    </w:r>
    <w:proofErr w:type="spellEnd"/>
    <w:r w:rsidRPr="00146FFA">
      <w:rPr>
        <w:sz w:val="13"/>
        <w:szCs w:val="13"/>
        <w:lang w:val="en-US"/>
      </w:rPr>
      <w:t xml:space="preserve"> </w:t>
    </w:r>
    <w:proofErr w:type="spellStart"/>
    <w:r w:rsidRPr="00146FFA">
      <w:rPr>
        <w:sz w:val="13"/>
        <w:szCs w:val="13"/>
        <w:lang w:val="en-US"/>
      </w:rPr>
      <w:t>européenne</w:t>
    </w:r>
    <w:proofErr w:type="spellEnd"/>
    <w:r w:rsidRPr="00146FFA">
      <w:rPr>
        <w:sz w:val="13"/>
        <w:szCs w:val="13"/>
        <w:lang w:val="en-US"/>
      </w:rPr>
      <w:t xml:space="preserve">. Les points de </w:t>
    </w:r>
    <w:proofErr w:type="spellStart"/>
    <w:r w:rsidRPr="00146FFA">
      <w:rPr>
        <w:sz w:val="13"/>
        <w:szCs w:val="13"/>
        <w:lang w:val="en-US"/>
      </w:rPr>
      <w:t>vue</w:t>
    </w:r>
    <w:proofErr w:type="spellEnd"/>
    <w:r w:rsidRPr="00146FFA">
      <w:rPr>
        <w:sz w:val="13"/>
        <w:szCs w:val="13"/>
        <w:lang w:val="en-US"/>
      </w:rPr>
      <w:t xml:space="preserve"> et opinions </w:t>
    </w:r>
    <w:proofErr w:type="spellStart"/>
    <w:r w:rsidRPr="00146FFA">
      <w:rPr>
        <w:sz w:val="13"/>
        <w:szCs w:val="13"/>
        <w:lang w:val="en-US"/>
      </w:rPr>
      <w:t>exprimés</w:t>
    </w:r>
    <w:proofErr w:type="spellEnd"/>
    <w:r w:rsidRPr="00146FFA">
      <w:rPr>
        <w:sz w:val="13"/>
        <w:szCs w:val="13"/>
        <w:lang w:val="en-US"/>
      </w:rPr>
      <w:t xml:space="preserve"> </w:t>
    </w:r>
    <w:proofErr w:type="spellStart"/>
    <w:r w:rsidRPr="00146FFA">
      <w:rPr>
        <w:sz w:val="13"/>
        <w:szCs w:val="13"/>
        <w:lang w:val="en-US"/>
      </w:rPr>
      <w:t>sont</w:t>
    </w:r>
    <w:proofErr w:type="spellEnd"/>
    <w:r w:rsidRPr="00146FFA">
      <w:rPr>
        <w:sz w:val="13"/>
        <w:szCs w:val="13"/>
        <w:lang w:val="en-US"/>
      </w:rPr>
      <w:t xml:space="preserve"> </w:t>
    </w:r>
    <w:proofErr w:type="spellStart"/>
    <w:r w:rsidRPr="00146FFA">
      <w:rPr>
        <w:sz w:val="13"/>
        <w:szCs w:val="13"/>
        <w:lang w:val="en-US"/>
      </w:rPr>
      <w:t>ceux</w:t>
    </w:r>
    <w:proofErr w:type="spellEnd"/>
    <w:r w:rsidRPr="00146FFA">
      <w:rPr>
        <w:sz w:val="13"/>
        <w:szCs w:val="13"/>
        <w:lang w:val="en-US"/>
      </w:rPr>
      <w:t xml:space="preserve"> des auteur∙rice∙</w:t>
    </w:r>
    <w:proofErr w:type="spellStart"/>
    <w:r w:rsidRPr="00146FFA">
      <w:rPr>
        <w:sz w:val="13"/>
        <w:szCs w:val="13"/>
        <w:lang w:val="en-US"/>
      </w:rPr>
      <w:t>s et</w:t>
    </w:r>
    <w:proofErr w:type="spellEnd"/>
    <w:r w:rsidRPr="00146FFA">
      <w:rPr>
        <w:sz w:val="13"/>
        <w:szCs w:val="13"/>
        <w:lang w:val="en-US"/>
      </w:rPr>
      <w:t xml:space="preserve"> ne </w:t>
    </w:r>
    <w:proofErr w:type="spellStart"/>
    <w:r w:rsidRPr="00146FFA">
      <w:rPr>
        <w:sz w:val="13"/>
        <w:szCs w:val="13"/>
        <w:lang w:val="en-US"/>
      </w:rPr>
      <w:t>reflètent</w:t>
    </w:r>
    <w:proofErr w:type="spellEnd"/>
    <w:r w:rsidRPr="00146FFA">
      <w:rPr>
        <w:sz w:val="13"/>
        <w:szCs w:val="13"/>
        <w:lang w:val="en-US"/>
      </w:rPr>
      <w:t xml:space="preserve"> pas </w:t>
    </w:r>
    <w:proofErr w:type="spellStart"/>
    <w:r w:rsidRPr="00146FFA">
      <w:rPr>
        <w:sz w:val="13"/>
        <w:szCs w:val="13"/>
        <w:lang w:val="en-US"/>
      </w:rPr>
      <w:t>nécessairement</w:t>
    </w:r>
    <w:proofErr w:type="spellEnd"/>
    <w:r w:rsidRPr="00146FFA">
      <w:rPr>
        <w:sz w:val="13"/>
        <w:szCs w:val="13"/>
        <w:lang w:val="en-US"/>
      </w:rPr>
      <w:t xml:space="preserve"> </w:t>
    </w:r>
    <w:proofErr w:type="spellStart"/>
    <w:r w:rsidRPr="00146FFA">
      <w:rPr>
        <w:sz w:val="13"/>
        <w:szCs w:val="13"/>
        <w:lang w:val="en-US"/>
      </w:rPr>
      <w:t>celles</w:t>
    </w:r>
    <w:proofErr w:type="spellEnd"/>
    <w:r w:rsidRPr="00146FFA">
      <w:rPr>
        <w:sz w:val="13"/>
        <w:szCs w:val="13"/>
        <w:lang w:val="en-US"/>
      </w:rPr>
      <w:t xml:space="preserve"> de </w:t>
    </w:r>
    <w:proofErr w:type="spellStart"/>
    <w:r w:rsidRPr="00146FFA">
      <w:rPr>
        <w:sz w:val="13"/>
        <w:szCs w:val="13"/>
        <w:lang w:val="en-US"/>
      </w:rPr>
      <w:t>l’Union</w:t>
    </w:r>
    <w:proofErr w:type="spellEnd"/>
    <w:r w:rsidRPr="00146FFA">
      <w:rPr>
        <w:sz w:val="13"/>
        <w:szCs w:val="13"/>
        <w:lang w:val="en-US"/>
      </w:rPr>
      <w:t xml:space="preserve"> </w:t>
    </w:r>
    <w:proofErr w:type="spellStart"/>
    <w:r w:rsidRPr="00146FFA">
      <w:rPr>
        <w:sz w:val="13"/>
        <w:szCs w:val="13"/>
        <w:lang w:val="en-US"/>
      </w:rPr>
      <w:t>européenne</w:t>
    </w:r>
    <w:proofErr w:type="spellEnd"/>
    <w:r w:rsidRPr="00146FFA">
      <w:rPr>
        <w:sz w:val="13"/>
        <w:szCs w:val="13"/>
        <w:lang w:val="en-US"/>
      </w:rPr>
      <w:t xml:space="preserve"> </w:t>
    </w:r>
    <w:proofErr w:type="spellStart"/>
    <w:r w:rsidRPr="00146FFA">
      <w:rPr>
        <w:sz w:val="13"/>
        <w:szCs w:val="13"/>
        <w:lang w:val="en-US"/>
      </w:rPr>
      <w:t>ou</w:t>
    </w:r>
    <w:proofErr w:type="spellEnd"/>
    <w:r w:rsidRPr="00146FFA">
      <w:rPr>
        <w:sz w:val="13"/>
        <w:szCs w:val="13"/>
        <w:lang w:val="en-US"/>
      </w:rPr>
      <w:t xml:space="preserve"> de </w:t>
    </w:r>
    <w:proofErr w:type="spellStart"/>
    <w:r w:rsidRPr="00146FFA">
      <w:rPr>
        <w:sz w:val="13"/>
        <w:szCs w:val="13"/>
        <w:lang w:val="en-US"/>
      </w:rPr>
      <w:t>l’Agence</w:t>
    </w:r>
    <w:proofErr w:type="spellEnd"/>
    <w:r w:rsidRPr="00146FFA">
      <w:rPr>
        <w:sz w:val="13"/>
        <w:szCs w:val="13"/>
        <w:lang w:val="en-US"/>
      </w:rPr>
      <w:t xml:space="preserve"> </w:t>
    </w:r>
    <w:proofErr w:type="spellStart"/>
    <w:r w:rsidRPr="00146FFA">
      <w:rPr>
        <w:sz w:val="13"/>
        <w:szCs w:val="13"/>
        <w:lang w:val="en-US"/>
      </w:rPr>
      <w:t>exécutive</w:t>
    </w:r>
    <w:proofErr w:type="spellEnd"/>
    <w:r w:rsidRPr="00146FFA">
      <w:rPr>
        <w:sz w:val="13"/>
        <w:szCs w:val="13"/>
        <w:lang w:val="en-US"/>
      </w:rPr>
      <w:t xml:space="preserve"> pour </w:t>
    </w:r>
    <w:proofErr w:type="spellStart"/>
    <w:r w:rsidRPr="00146FFA">
      <w:rPr>
        <w:sz w:val="13"/>
        <w:szCs w:val="13"/>
        <w:lang w:val="en-US"/>
      </w:rPr>
      <w:t>l’éducation</w:t>
    </w:r>
    <w:proofErr w:type="spellEnd"/>
    <w:r w:rsidRPr="00146FFA">
      <w:rPr>
        <w:sz w:val="13"/>
        <w:szCs w:val="13"/>
        <w:lang w:val="en-US"/>
      </w:rPr>
      <w:t xml:space="preserve">, </w:t>
    </w:r>
    <w:proofErr w:type="spellStart"/>
    <w:r w:rsidRPr="00146FFA">
      <w:rPr>
        <w:sz w:val="13"/>
        <w:szCs w:val="13"/>
        <w:lang w:val="en-US"/>
      </w:rPr>
      <w:t>l’audiovisuel</w:t>
    </w:r>
    <w:proofErr w:type="spellEnd"/>
    <w:r w:rsidRPr="00146FFA">
      <w:rPr>
        <w:sz w:val="13"/>
        <w:szCs w:val="13"/>
        <w:lang w:val="en-US"/>
      </w:rPr>
      <w:t xml:space="preserve"> et la culture (EACEA). Ni </w:t>
    </w:r>
    <w:proofErr w:type="spellStart"/>
    <w:r w:rsidRPr="00146FFA">
      <w:rPr>
        <w:sz w:val="13"/>
        <w:szCs w:val="13"/>
        <w:lang w:val="en-US"/>
      </w:rPr>
      <w:t>l’Union</w:t>
    </w:r>
    <w:proofErr w:type="spellEnd"/>
    <w:r w:rsidRPr="00146FFA">
      <w:rPr>
        <w:sz w:val="13"/>
        <w:szCs w:val="13"/>
        <w:lang w:val="en-US"/>
      </w:rPr>
      <w:t xml:space="preserve"> </w:t>
    </w:r>
    <w:proofErr w:type="spellStart"/>
    <w:r w:rsidRPr="00146FFA">
      <w:rPr>
        <w:sz w:val="13"/>
        <w:szCs w:val="13"/>
        <w:lang w:val="en-US"/>
      </w:rPr>
      <w:t>européenne</w:t>
    </w:r>
    <w:proofErr w:type="spellEnd"/>
    <w:r w:rsidRPr="00146FFA">
      <w:rPr>
        <w:sz w:val="13"/>
        <w:szCs w:val="13"/>
        <w:lang w:val="en-US"/>
      </w:rPr>
      <w:t xml:space="preserve">, </w:t>
    </w:r>
    <w:proofErr w:type="spellStart"/>
    <w:r w:rsidRPr="00146FFA">
      <w:rPr>
        <w:sz w:val="13"/>
        <w:szCs w:val="13"/>
        <w:lang w:val="en-US"/>
      </w:rPr>
      <w:t>ni</w:t>
    </w:r>
    <w:proofErr w:type="spellEnd"/>
    <w:r w:rsidRPr="00146FFA">
      <w:rPr>
        <w:sz w:val="13"/>
        <w:szCs w:val="13"/>
        <w:lang w:val="en-US"/>
      </w:rPr>
      <w:t xml:space="preserve"> </w:t>
    </w:r>
    <w:proofErr w:type="spellStart"/>
    <w:r w:rsidRPr="00146FFA">
      <w:rPr>
        <w:sz w:val="13"/>
        <w:szCs w:val="13"/>
        <w:lang w:val="en-US"/>
      </w:rPr>
      <w:t>l’EACEA</w:t>
    </w:r>
    <w:proofErr w:type="spellEnd"/>
    <w:r w:rsidRPr="00146FFA">
      <w:rPr>
        <w:sz w:val="13"/>
        <w:szCs w:val="13"/>
        <w:lang w:val="en-US"/>
      </w:rPr>
      <w:t xml:space="preserve"> ne </w:t>
    </w:r>
    <w:proofErr w:type="spellStart"/>
    <w:r w:rsidRPr="00146FFA">
      <w:rPr>
        <w:sz w:val="13"/>
        <w:szCs w:val="13"/>
        <w:lang w:val="en-US"/>
      </w:rPr>
      <w:t>peuvent</w:t>
    </w:r>
    <w:proofErr w:type="spellEnd"/>
    <w:r w:rsidRPr="00146FFA">
      <w:rPr>
        <w:sz w:val="13"/>
        <w:szCs w:val="13"/>
        <w:lang w:val="en-US"/>
      </w:rPr>
      <w:t xml:space="preserve"> </w:t>
    </w:r>
    <w:proofErr w:type="spellStart"/>
    <w:r w:rsidRPr="00146FFA">
      <w:rPr>
        <w:sz w:val="13"/>
        <w:szCs w:val="13"/>
        <w:lang w:val="en-US"/>
      </w:rPr>
      <w:t>être</w:t>
    </w:r>
    <w:proofErr w:type="spellEnd"/>
    <w:r w:rsidRPr="00146FFA">
      <w:rPr>
        <w:sz w:val="13"/>
        <w:szCs w:val="13"/>
        <w:lang w:val="en-US"/>
      </w:rPr>
      <w:t xml:space="preserve"> tenues </w:t>
    </w:r>
    <w:proofErr w:type="spellStart"/>
    <w:r w:rsidRPr="00146FFA">
      <w:rPr>
        <w:sz w:val="13"/>
        <w:szCs w:val="13"/>
        <w:lang w:val="en-US"/>
      </w:rPr>
      <w:t>responsables</w:t>
    </w:r>
    <w:proofErr w:type="spellEnd"/>
    <w:r w:rsidRPr="00146FFA">
      <w:rPr>
        <w:sz w:val="13"/>
        <w:szCs w:val="13"/>
        <w:lang w:val="en-US"/>
      </w:rPr>
      <w:t>.</w:t>
    </w:r>
    <w:r w:rsidR="009D5F0A" w:rsidRPr="009D5F0A">
      <w:rPr>
        <w:noProof/>
        <w:sz w:val="13"/>
        <w:szCs w:val="13"/>
      </w:rPr>
      <w:drawing>
        <wp:anchor distT="0" distB="0" distL="114300" distR="114300" simplePos="0" relativeHeight="251659264" behindDoc="0" locked="0" layoutInCell="1" allowOverlap="1" wp14:anchorId="7C97FFB5" wp14:editId="6E39B026">
          <wp:simplePos x="0" y="0"/>
          <wp:positionH relativeFrom="column">
            <wp:posOffset>1905</wp:posOffset>
          </wp:positionH>
          <wp:positionV relativeFrom="paragraph">
            <wp:posOffset>-4445</wp:posOffset>
          </wp:positionV>
          <wp:extent cx="1841500" cy="386080"/>
          <wp:effectExtent l="0" t="0" r="0" b="0"/>
          <wp:wrapSquare wrapText="bothSides"/>
          <wp:docPr id="64348184" name="Grafik 2" descr="Ein Bild, das Text, Schrift, Electric Blue (Farbe),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8184" name="Grafik 2" descr="Ein Bild, das Text, Schrift, Electric Blue (Farbe),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41500" cy="386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9C46" w14:textId="77777777" w:rsidR="00583459" w:rsidRDefault="00583459" w:rsidP="009D5F0A">
      <w:r>
        <w:separator/>
      </w:r>
    </w:p>
  </w:footnote>
  <w:footnote w:type="continuationSeparator" w:id="0">
    <w:p w14:paraId="5E2AAE7F" w14:textId="77777777" w:rsidR="00583459" w:rsidRDefault="00583459"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400F" w14:textId="77777777" w:rsidR="009D5F0A" w:rsidRDefault="009D5F0A">
    <w:pPr>
      <w:pStyle w:val="Kopfzeile"/>
    </w:pPr>
    <w:r>
      <w:rPr>
        <w:noProof/>
      </w:rPr>
      <w:drawing>
        <wp:anchor distT="0" distB="0" distL="114300" distR="114300" simplePos="0" relativeHeight="251658240" behindDoc="1" locked="0" layoutInCell="1" allowOverlap="1" wp14:anchorId="5EA582CF" wp14:editId="0E981CDD">
          <wp:simplePos x="0" y="0"/>
          <wp:positionH relativeFrom="column">
            <wp:posOffset>5234305</wp:posOffset>
          </wp:positionH>
          <wp:positionV relativeFrom="paragraph">
            <wp:posOffset>-118745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DD"/>
    <w:multiLevelType w:val="multilevel"/>
    <w:tmpl w:val="D7B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B1979"/>
    <w:multiLevelType w:val="multilevel"/>
    <w:tmpl w:val="EB3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3CA5"/>
    <w:multiLevelType w:val="hybridMultilevel"/>
    <w:tmpl w:val="A95E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43B6B"/>
    <w:multiLevelType w:val="multilevel"/>
    <w:tmpl w:val="6766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33766"/>
    <w:multiLevelType w:val="multilevel"/>
    <w:tmpl w:val="0FD4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C1C32"/>
    <w:multiLevelType w:val="hybridMultilevel"/>
    <w:tmpl w:val="CB74D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702E3B"/>
    <w:multiLevelType w:val="multilevel"/>
    <w:tmpl w:val="89E4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F5FAD"/>
    <w:multiLevelType w:val="multilevel"/>
    <w:tmpl w:val="783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61C35"/>
    <w:multiLevelType w:val="hybridMultilevel"/>
    <w:tmpl w:val="AC84C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6E76B5"/>
    <w:multiLevelType w:val="multilevel"/>
    <w:tmpl w:val="9710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43477"/>
    <w:multiLevelType w:val="multilevel"/>
    <w:tmpl w:val="06D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50D08"/>
    <w:multiLevelType w:val="hybridMultilevel"/>
    <w:tmpl w:val="392CA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7E267F"/>
    <w:multiLevelType w:val="multilevel"/>
    <w:tmpl w:val="0352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2212C"/>
    <w:multiLevelType w:val="multilevel"/>
    <w:tmpl w:val="90A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671CA"/>
    <w:multiLevelType w:val="hybridMultilevel"/>
    <w:tmpl w:val="4F62F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F42DC3"/>
    <w:multiLevelType w:val="multilevel"/>
    <w:tmpl w:val="9B1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E2A35"/>
    <w:multiLevelType w:val="multilevel"/>
    <w:tmpl w:val="F94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13330">
    <w:abstractNumId w:val="6"/>
  </w:num>
  <w:num w:numId="2" w16cid:durableId="1627194346">
    <w:abstractNumId w:val="12"/>
  </w:num>
  <w:num w:numId="3" w16cid:durableId="778989265">
    <w:abstractNumId w:val="9"/>
  </w:num>
  <w:num w:numId="4" w16cid:durableId="281231018">
    <w:abstractNumId w:val="1"/>
  </w:num>
  <w:num w:numId="5" w16cid:durableId="1677616540">
    <w:abstractNumId w:val="15"/>
  </w:num>
  <w:num w:numId="6" w16cid:durableId="380176867">
    <w:abstractNumId w:val="13"/>
  </w:num>
  <w:num w:numId="7" w16cid:durableId="976450231">
    <w:abstractNumId w:val="0"/>
  </w:num>
  <w:num w:numId="8" w16cid:durableId="957953334">
    <w:abstractNumId w:val="7"/>
  </w:num>
  <w:num w:numId="9" w16cid:durableId="75976659">
    <w:abstractNumId w:val="4"/>
  </w:num>
  <w:num w:numId="10" w16cid:durableId="856504009">
    <w:abstractNumId w:val="3"/>
  </w:num>
  <w:num w:numId="11" w16cid:durableId="973874650">
    <w:abstractNumId w:val="16"/>
  </w:num>
  <w:num w:numId="12" w16cid:durableId="1092043818">
    <w:abstractNumId w:val="10"/>
  </w:num>
  <w:num w:numId="13" w16cid:durableId="1742752941">
    <w:abstractNumId w:val="11"/>
  </w:num>
  <w:num w:numId="14" w16cid:durableId="99573010">
    <w:abstractNumId w:val="8"/>
  </w:num>
  <w:num w:numId="15" w16cid:durableId="157576753">
    <w:abstractNumId w:val="2"/>
  </w:num>
  <w:num w:numId="16" w16cid:durableId="1295600577">
    <w:abstractNumId w:val="14"/>
  </w:num>
  <w:num w:numId="17" w16cid:durableId="79957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9E"/>
    <w:rsid w:val="00013507"/>
    <w:rsid w:val="00015A7F"/>
    <w:rsid w:val="000661CD"/>
    <w:rsid w:val="00086515"/>
    <w:rsid w:val="000D608A"/>
    <w:rsid w:val="0010080C"/>
    <w:rsid w:val="00107BF4"/>
    <w:rsid w:val="0011793C"/>
    <w:rsid w:val="0012036A"/>
    <w:rsid w:val="00146FFA"/>
    <w:rsid w:val="001624F0"/>
    <w:rsid w:val="001A2DDA"/>
    <w:rsid w:val="001B1AFA"/>
    <w:rsid w:val="001B627C"/>
    <w:rsid w:val="001E3E00"/>
    <w:rsid w:val="001F159E"/>
    <w:rsid w:val="002651E3"/>
    <w:rsid w:val="00266FA4"/>
    <w:rsid w:val="00295429"/>
    <w:rsid w:val="002B43FA"/>
    <w:rsid w:val="002D5C60"/>
    <w:rsid w:val="002E170F"/>
    <w:rsid w:val="002E4E45"/>
    <w:rsid w:val="002F2E95"/>
    <w:rsid w:val="00311B19"/>
    <w:rsid w:val="00353C12"/>
    <w:rsid w:val="00394177"/>
    <w:rsid w:val="003A63C6"/>
    <w:rsid w:val="003B21C0"/>
    <w:rsid w:val="0043583B"/>
    <w:rsid w:val="00450DC5"/>
    <w:rsid w:val="004604F2"/>
    <w:rsid w:val="00494ED8"/>
    <w:rsid w:val="004D49D6"/>
    <w:rsid w:val="004E66A2"/>
    <w:rsid w:val="00525A48"/>
    <w:rsid w:val="00544C15"/>
    <w:rsid w:val="00567D01"/>
    <w:rsid w:val="00576B0F"/>
    <w:rsid w:val="00583459"/>
    <w:rsid w:val="005943CD"/>
    <w:rsid w:val="005C1089"/>
    <w:rsid w:val="005F6D64"/>
    <w:rsid w:val="006441BD"/>
    <w:rsid w:val="006734DE"/>
    <w:rsid w:val="00685AD3"/>
    <w:rsid w:val="006D3E8F"/>
    <w:rsid w:val="00702CC3"/>
    <w:rsid w:val="00703BB5"/>
    <w:rsid w:val="00731B39"/>
    <w:rsid w:val="0073446D"/>
    <w:rsid w:val="00764122"/>
    <w:rsid w:val="007711CC"/>
    <w:rsid w:val="007E61FC"/>
    <w:rsid w:val="0082385F"/>
    <w:rsid w:val="008360E2"/>
    <w:rsid w:val="00842E94"/>
    <w:rsid w:val="008C364D"/>
    <w:rsid w:val="00955663"/>
    <w:rsid w:val="009B302C"/>
    <w:rsid w:val="009B660C"/>
    <w:rsid w:val="009C0E63"/>
    <w:rsid w:val="009D5F0A"/>
    <w:rsid w:val="00A44C23"/>
    <w:rsid w:val="00A92CA4"/>
    <w:rsid w:val="00AE4366"/>
    <w:rsid w:val="00B50091"/>
    <w:rsid w:val="00B9002F"/>
    <w:rsid w:val="00BE02A2"/>
    <w:rsid w:val="00CB3455"/>
    <w:rsid w:val="00CC0C3D"/>
    <w:rsid w:val="00CD7012"/>
    <w:rsid w:val="00CE2E68"/>
    <w:rsid w:val="00D046F2"/>
    <w:rsid w:val="00D55EC8"/>
    <w:rsid w:val="00DB6810"/>
    <w:rsid w:val="00E95C06"/>
    <w:rsid w:val="00EA7BDD"/>
    <w:rsid w:val="00EB560B"/>
    <w:rsid w:val="00EF668E"/>
    <w:rsid w:val="00FC3822"/>
    <w:rsid w:val="00FF3662"/>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ADC2"/>
  <w15:chartTrackingRefBased/>
  <w15:docId w15:val="{F93C2055-F7FB-48F1-889F-F88F38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159E"/>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7523</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c:description/>
  <cp:lastModifiedBy>Henrieta Winklhofer</cp:lastModifiedBy>
  <cp:revision>4</cp:revision>
  <dcterms:created xsi:type="dcterms:W3CDTF">2026-01-06T12:29:00Z</dcterms:created>
  <dcterms:modified xsi:type="dcterms:W3CDTF">2026-01-20T12:00:00Z</dcterms:modified>
</cp:coreProperties>
</file>